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3340">
      <w:pPr>
        <w:pStyle w:val="2"/>
        <w:rPr>
          <w:highlight w:val="none"/>
        </w:rPr>
      </w:pPr>
      <w:bookmarkStart w:id="0" w:name="_GoBack"/>
      <w:bookmarkEnd w:id="0"/>
    </w:p>
    <w:p w14:paraId="3DBB79C9">
      <w:pPr>
        <w:pStyle w:val="8"/>
        <w:jc w:val="center"/>
        <w:rPr>
          <w:rFonts w:ascii="宋体" w:hAnsi="宋体"/>
          <w:kern w:val="0"/>
          <w:sz w:val="32"/>
          <w:szCs w:val="32"/>
          <w:highlight w:val="none"/>
        </w:rPr>
      </w:pPr>
    </w:p>
    <w:p w14:paraId="0632C101">
      <w:pPr>
        <w:pStyle w:val="8"/>
        <w:jc w:val="center"/>
        <w:rPr>
          <w:rFonts w:hint="eastAsia" w:ascii="宋体" w:hAnsi="宋体" w:eastAsia="宋体"/>
          <w:kern w:val="0"/>
          <w:sz w:val="32"/>
          <w:szCs w:val="32"/>
          <w:highlight w:val="none"/>
          <w:lang w:val="en-US" w:eastAsia="zh-CN"/>
        </w:rPr>
      </w:pPr>
      <w:r>
        <w:rPr>
          <w:rFonts w:hint="eastAsia" w:ascii="宋体" w:hAnsi="宋体"/>
          <w:kern w:val="0"/>
          <w:sz w:val="32"/>
          <w:szCs w:val="32"/>
          <w:highlight w:val="none"/>
        </w:rPr>
        <w:t>项目名称：</w:t>
      </w:r>
      <w:r>
        <w:rPr>
          <w:rFonts w:hint="eastAsia" w:ascii="宋体" w:hAnsi="宋体"/>
          <w:kern w:val="0"/>
          <w:sz w:val="32"/>
          <w:szCs w:val="32"/>
          <w:highlight w:val="none"/>
          <w:lang w:val="en-US" w:eastAsia="zh-CN"/>
        </w:rPr>
        <w:t>阿依河景区夜景灯饰及声光电提升EPC工程</w:t>
      </w:r>
    </w:p>
    <w:p w14:paraId="3B600187">
      <w:pPr>
        <w:autoSpaceDE w:val="0"/>
        <w:autoSpaceDN w:val="0"/>
        <w:adjustRightInd w:val="0"/>
        <w:snapToGrid w:val="0"/>
        <w:spacing w:line="360" w:lineRule="auto"/>
        <w:jc w:val="left"/>
        <w:rPr>
          <w:rFonts w:ascii="宋体" w:hAnsi="宋体"/>
          <w:kern w:val="0"/>
          <w:sz w:val="20"/>
          <w:szCs w:val="20"/>
          <w:highlight w:val="none"/>
        </w:rPr>
      </w:pPr>
    </w:p>
    <w:p w14:paraId="138B7A1D">
      <w:pPr>
        <w:autoSpaceDE w:val="0"/>
        <w:autoSpaceDN w:val="0"/>
        <w:adjustRightInd w:val="0"/>
        <w:snapToGrid w:val="0"/>
        <w:spacing w:line="360" w:lineRule="auto"/>
        <w:jc w:val="left"/>
        <w:rPr>
          <w:rFonts w:ascii="宋体" w:hAnsi="宋体"/>
          <w:kern w:val="0"/>
          <w:sz w:val="20"/>
          <w:szCs w:val="20"/>
          <w:highlight w:val="none"/>
        </w:rPr>
      </w:pPr>
    </w:p>
    <w:p w14:paraId="5E742AAF">
      <w:pPr>
        <w:pStyle w:val="2"/>
        <w:rPr>
          <w:rFonts w:ascii="宋体" w:hAnsi="宋体"/>
          <w:kern w:val="0"/>
          <w:sz w:val="20"/>
          <w:szCs w:val="20"/>
          <w:highlight w:val="none"/>
        </w:rPr>
      </w:pPr>
    </w:p>
    <w:p w14:paraId="7452E712">
      <w:pPr>
        <w:rPr>
          <w:rFonts w:ascii="宋体" w:hAnsi="宋体"/>
          <w:kern w:val="0"/>
          <w:sz w:val="20"/>
          <w:szCs w:val="20"/>
          <w:highlight w:val="none"/>
        </w:rPr>
      </w:pPr>
    </w:p>
    <w:p w14:paraId="50550430">
      <w:pPr>
        <w:pStyle w:val="2"/>
        <w:rPr>
          <w:rFonts w:ascii="宋体" w:hAnsi="宋体"/>
          <w:kern w:val="0"/>
          <w:sz w:val="20"/>
          <w:szCs w:val="20"/>
          <w:highlight w:val="none"/>
        </w:rPr>
      </w:pPr>
    </w:p>
    <w:p w14:paraId="463998B7">
      <w:pPr>
        <w:rPr>
          <w:highlight w:val="none"/>
        </w:rPr>
      </w:pPr>
    </w:p>
    <w:p w14:paraId="2500FA28">
      <w:pPr>
        <w:autoSpaceDE w:val="0"/>
        <w:autoSpaceDN w:val="0"/>
        <w:adjustRightInd w:val="0"/>
        <w:snapToGrid w:val="0"/>
        <w:spacing w:line="360" w:lineRule="auto"/>
        <w:jc w:val="left"/>
        <w:rPr>
          <w:rFonts w:ascii="宋体" w:hAnsi="宋体"/>
          <w:kern w:val="0"/>
          <w:sz w:val="20"/>
          <w:szCs w:val="20"/>
          <w:highlight w:val="none"/>
        </w:rPr>
      </w:pPr>
    </w:p>
    <w:p w14:paraId="7B4BF09F">
      <w:pPr>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 xml:space="preserve">比 选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765B0D28">
      <w:pPr>
        <w:autoSpaceDE w:val="0"/>
        <w:autoSpaceDN w:val="0"/>
        <w:adjustRightInd w:val="0"/>
        <w:snapToGrid w:val="0"/>
        <w:spacing w:line="360" w:lineRule="auto"/>
        <w:jc w:val="left"/>
        <w:rPr>
          <w:rFonts w:ascii="宋体" w:hAnsi="宋体"/>
          <w:kern w:val="0"/>
          <w:sz w:val="10"/>
          <w:szCs w:val="10"/>
          <w:highlight w:val="none"/>
        </w:rPr>
      </w:pPr>
    </w:p>
    <w:p w14:paraId="11DB49EA">
      <w:pPr>
        <w:autoSpaceDE w:val="0"/>
        <w:autoSpaceDN w:val="0"/>
        <w:adjustRightInd w:val="0"/>
        <w:snapToGrid w:val="0"/>
        <w:spacing w:line="360" w:lineRule="auto"/>
        <w:jc w:val="center"/>
        <w:rPr>
          <w:rFonts w:ascii="宋体" w:hAnsi="宋体"/>
          <w:kern w:val="0"/>
          <w:sz w:val="20"/>
          <w:szCs w:val="20"/>
          <w:highlight w:val="none"/>
        </w:rPr>
      </w:pPr>
    </w:p>
    <w:p w14:paraId="29819FCA">
      <w:pPr>
        <w:autoSpaceDE w:val="0"/>
        <w:autoSpaceDN w:val="0"/>
        <w:adjustRightInd w:val="0"/>
        <w:snapToGrid w:val="0"/>
        <w:spacing w:line="360" w:lineRule="auto"/>
        <w:jc w:val="left"/>
        <w:rPr>
          <w:rFonts w:ascii="宋体" w:hAnsi="宋体"/>
          <w:kern w:val="0"/>
          <w:sz w:val="20"/>
          <w:szCs w:val="20"/>
          <w:highlight w:val="none"/>
        </w:rPr>
      </w:pPr>
    </w:p>
    <w:p w14:paraId="729B134B">
      <w:pPr>
        <w:autoSpaceDE w:val="0"/>
        <w:autoSpaceDN w:val="0"/>
        <w:adjustRightInd w:val="0"/>
        <w:snapToGrid w:val="0"/>
        <w:spacing w:line="360" w:lineRule="auto"/>
        <w:jc w:val="left"/>
        <w:rPr>
          <w:rFonts w:ascii="宋体" w:hAnsi="宋体"/>
          <w:kern w:val="0"/>
          <w:sz w:val="20"/>
          <w:szCs w:val="20"/>
          <w:highlight w:val="none"/>
        </w:rPr>
      </w:pPr>
    </w:p>
    <w:p w14:paraId="6ACD4F43">
      <w:pPr>
        <w:autoSpaceDE w:val="0"/>
        <w:autoSpaceDN w:val="0"/>
        <w:adjustRightInd w:val="0"/>
        <w:snapToGrid w:val="0"/>
        <w:spacing w:line="360" w:lineRule="auto"/>
        <w:rPr>
          <w:rFonts w:ascii="宋体" w:hAnsi="宋体"/>
          <w:kern w:val="0"/>
          <w:sz w:val="20"/>
          <w:szCs w:val="20"/>
          <w:highlight w:val="none"/>
        </w:rPr>
      </w:pPr>
    </w:p>
    <w:p w14:paraId="20CB7830">
      <w:pPr>
        <w:autoSpaceDE w:val="0"/>
        <w:autoSpaceDN w:val="0"/>
        <w:adjustRightInd w:val="0"/>
        <w:snapToGrid w:val="0"/>
        <w:spacing w:line="360" w:lineRule="auto"/>
        <w:jc w:val="left"/>
        <w:rPr>
          <w:rFonts w:ascii="宋体" w:hAnsi="宋体"/>
          <w:kern w:val="0"/>
          <w:sz w:val="20"/>
          <w:szCs w:val="20"/>
          <w:highlight w:val="none"/>
        </w:rPr>
      </w:pPr>
    </w:p>
    <w:p w14:paraId="32C31D89">
      <w:pPr>
        <w:autoSpaceDE w:val="0"/>
        <w:autoSpaceDN w:val="0"/>
        <w:adjustRightInd w:val="0"/>
        <w:snapToGrid w:val="0"/>
        <w:spacing w:line="360" w:lineRule="auto"/>
        <w:rPr>
          <w:rFonts w:ascii="宋体" w:hAnsi="宋体"/>
          <w:kern w:val="0"/>
          <w:sz w:val="20"/>
          <w:szCs w:val="20"/>
          <w:highlight w:val="none"/>
        </w:rPr>
      </w:pPr>
    </w:p>
    <w:p w14:paraId="7DFB3827">
      <w:pPr>
        <w:autoSpaceDE w:val="0"/>
        <w:autoSpaceDN w:val="0"/>
        <w:adjustRightInd w:val="0"/>
        <w:snapToGrid w:val="0"/>
        <w:spacing w:line="360" w:lineRule="auto"/>
        <w:rPr>
          <w:rFonts w:ascii="宋体" w:hAnsi="宋体"/>
          <w:kern w:val="0"/>
          <w:sz w:val="20"/>
          <w:szCs w:val="20"/>
          <w:highlight w:val="none"/>
        </w:rPr>
      </w:pPr>
    </w:p>
    <w:p w14:paraId="2540EDBB">
      <w:pPr>
        <w:autoSpaceDE w:val="0"/>
        <w:autoSpaceDN w:val="0"/>
        <w:adjustRightInd w:val="0"/>
        <w:snapToGrid w:val="0"/>
        <w:spacing w:line="360" w:lineRule="auto"/>
        <w:rPr>
          <w:rFonts w:ascii="宋体" w:hAnsi="宋体"/>
          <w:kern w:val="0"/>
          <w:sz w:val="20"/>
          <w:szCs w:val="20"/>
          <w:highlight w:val="none"/>
        </w:rPr>
      </w:pPr>
    </w:p>
    <w:p w14:paraId="7450BD13">
      <w:pPr>
        <w:tabs>
          <w:tab w:val="left" w:pos="7088"/>
        </w:tabs>
        <w:autoSpaceDE w:val="0"/>
        <w:autoSpaceDN w:val="0"/>
        <w:adjustRightInd w:val="0"/>
        <w:snapToGrid w:val="0"/>
        <w:spacing w:line="360" w:lineRule="auto"/>
        <w:jc w:val="left"/>
        <w:rPr>
          <w:rFonts w:ascii="宋体" w:hAnsi="宋体"/>
          <w:bCs/>
          <w:w w:val="99"/>
          <w:kern w:val="0"/>
          <w:sz w:val="28"/>
          <w:szCs w:val="28"/>
          <w:highlight w:val="none"/>
        </w:rPr>
      </w:pPr>
      <w:r>
        <w:rPr>
          <w:rFonts w:hint="eastAsia" w:ascii="宋体" w:hAnsi="宋体"/>
          <w:bCs/>
          <w:w w:val="99"/>
          <w:kern w:val="0"/>
          <w:sz w:val="28"/>
          <w:szCs w:val="28"/>
          <w:highlight w:val="none"/>
        </w:rPr>
        <w:t xml:space="preserve">比 </w:t>
      </w:r>
      <w:r>
        <w:rPr>
          <w:rFonts w:ascii="宋体" w:hAnsi="宋体"/>
          <w:bCs/>
          <w:w w:val="99"/>
          <w:kern w:val="0"/>
          <w:sz w:val="28"/>
          <w:szCs w:val="28"/>
          <w:highlight w:val="none"/>
        </w:rPr>
        <w:t xml:space="preserve">  </w:t>
      </w:r>
      <w:r>
        <w:rPr>
          <w:rFonts w:hint="eastAsia" w:ascii="宋体" w:hAnsi="宋体"/>
          <w:bCs/>
          <w:w w:val="99"/>
          <w:kern w:val="0"/>
          <w:sz w:val="28"/>
          <w:szCs w:val="28"/>
          <w:highlight w:val="none"/>
        </w:rPr>
        <w:t xml:space="preserve">选   </w:t>
      </w:r>
      <w:r>
        <w:rPr>
          <w:rFonts w:ascii="宋体" w:hAnsi="宋体"/>
          <w:bCs/>
          <w:w w:val="99"/>
          <w:kern w:val="0"/>
          <w:sz w:val="28"/>
          <w:szCs w:val="28"/>
          <w:highlight w:val="none"/>
        </w:rPr>
        <w:t>人：</w:t>
      </w:r>
      <w:r>
        <w:rPr>
          <w:rFonts w:hint="eastAsia" w:ascii="宋体" w:hAnsi="宋体"/>
          <w:bCs/>
          <w:w w:val="99"/>
          <w:kern w:val="0"/>
          <w:sz w:val="28"/>
          <w:szCs w:val="28"/>
          <w:highlight w:val="none"/>
          <w:u w:val="single"/>
          <w:lang w:val="en-US" w:eastAsia="zh-CN"/>
        </w:rPr>
        <w:t>重庆乌江画廊旅游开发有限公司阿依河分公司</w:t>
      </w:r>
      <w:r>
        <w:rPr>
          <w:rFonts w:ascii="宋体" w:hAnsi="宋体"/>
          <w:bCs/>
          <w:w w:val="99"/>
          <w:kern w:val="0"/>
          <w:sz w:val="28"/>
          <w:szCs w:val="28"/>
          <w:highlight w:val="none"/>
        </w:rPr>
        <w:t>（盖单位公章）</w:t>
      </w:r>
    </w:p>
    <w:p w14:paraId="5FEC460F">
      <w:pPr>
        <w:autoSpaceDE w:val="0"/>
        <w:autoSpaceDN w:val="0"/>
        <w:adjustRightInd w:val="0"/>
        <w:snapToGrid w:val="0"/>
        <w:spacing w:line="360" w:lineRule="auto"/>
        <w:jc w:val="center"/>
        <w:rPr>
          <w:rFonts w:ascii="宋体" w:hAnsi="宋体"/>
          <w:bCs/>
          <w:kern w:val="0"/>
          <w:sz w:val="28"/>
          <w:szCs w:val="28"/>
          <w:highlight w:val="none"/>
        </w:rPr>
      </w:pPr>
    </w:p>
    <w:p w14:paraId="587A275F">
      <w:pPr>
        <w:autoSpaceDE w:val="0"/>
        <w:autoSpaceDN w:val="0"/>
        <w:adjustRightInd w:val="0"/>
        <w:snapToGrid w:val="0"/>
        <w:spacing w:line="360" w:lineRule="auto"/>
        <w:rPr>
          <w:rFonts w:ascii="宋体" w:hAnsi="宋体"/>
          <w:bCs/>
          <w:kern w:val="0"/>
          <w:sz w:val="20"/>
          <w:szCs w:val="20"/>
          <w:highlight w:val="none"/>
        </w:rPr>
      </w:pPr>
    </w:p>
    <w:p w14:paraId="6F8DBB5C">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r>
        <w:rPr>
          <w:rFonts w:ascii="宋体" w:hAnsi="宋体"/>
          <w:bCs/>
          <w:spacing w:val="8"/>
          <w:kern w:val="0"/>
          <w:sz w:val="28"/>
          <w:szCs w:val="28"/>
          <w:highlight w:val="none"/>
        </w:rPr>
        <w:t>202</w:t>
      </w:r>
      <w:r>
        <w:rPr>
          <w:rFonts w:hint="eastAsia" w:ascii="宋体" w:hAnsi="宋体"/>
          <w:bCs/>
          <w:spacing w:val="8"/>
          <w:kern w:val="0"/>
          <w:sz w:val="28"/>
          <w:szCs w:val="28"/>
          <w:highlight w:val="none"/>
          <w:lang w:val="en-US" w:eastAsia="zh-CN"/>
        </w:rPr>
        <w:t>6</w:t>
      </w:r>
      <w:r>
        <w:rPr>
          <w:rFonts w:ascii="宋体" w:hAnsi="宋体"/>
          <w:bCs/>
          <w:spacing w:val="8"/>
          <w:kern w:val="0"/>
          <w:sz w:val="28"/>
          <w:szCs w:val="28"/>
          <w:highlight w:val="none"/>
        </w:rPr>
        <w:t>年</w:t>
      </w:r>
      <w:r>
        <w:rPr>
          <w:rFonts w:hint="eastAsia" w:ascii="宋体" w:hAnsi="宋体"/>
          <w:bCs/>
          <w:spacing w:val="8"/>
          <w:kern w:val="0"/>
          <w:sz w:val="28"/>
          <w:szCs w:val="28"/>
          <w:highlight w:val="none"/>
          <w:lang w:val="en-US" w:eastAsia="zh-CN"/>
        </w:rPr>
        <w:t>6</w:t>
      </w:r>
      <w:r>
        <w:rPr>
          <w:rFonts w:ascii="宋体" w:hAnsi="宋体"/>
          <w:bCs/>
          <w:spacing w:val="8"/>
          <w:kern w:val="0"/>
          <w:sz w:val="28"/>
          <w:szCs w:val="28"/>
          <w:highlight w:val="none"/>
        </w:rPr>
        <w:t>月</w:t>
      </w:r>
    </w:p>
    <w:p w14:paraId="030A5EA5">
      <w:pPr>
        <w:pStyle w:val="3"/>
        <w:spacing w:line="360" w:lineRule="auto"/>
        <w:jc w:val="center"/>
        <w:rPr>
          <w:rFonts w:ascii="宋体" w:hAnsi="宋体"/>
          <w:w w:val="99"/>
          <w:kern w:val="0"/>
          <w:sz w:val="24"/>
          <w:highlight w:val="none"/>
        </w:rPr>
        <w:sectPr>
          <w:footerReference r:id="rId3" w:type="default"/>
          <w:pgSz w:w="11907" w:h="16840"/>
          <w:pgMar w:top="2098" w:right="1531" w:bottom="1984" w:left="1531" w:header="851" w:footer="992" w:gutter="0"/>
          <w:pgNumType w:fmt="numberInDash" w:start="1"/>
          <w:cols w:space="720" w:num="1"/>
          <w:docGrid w:linePitch="312" w:charSpace="0"/>
        </w:sectPr>
      </w:pPr>
    </w:p>
    <w:p w14:paraId="39CF5A4C">
      <w:pPr>
        <w:pStyle w:val="27"/>
        <w:jc w:val="center"/>
        <w:rPr>
          <w:rFonts w:ascii="宋体" w:hAnsi="宋体"/>
          <w:color w:val="auto"/>
          <w:sz w:val="44"/>
          <w:szCs w:val="44"/>
          <w:highlight w:val="none"/>
        </w:rPr>
      </w:pPr>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p>
    <w:p w14:paraId="5300C47B">
      <w:pPr>
        <w:pStyle w:val="11"/>
        <w:tabs>
          <w:tab w:val="right" w:leader="dot" w:pos="9459"/>
          <w:tab w:val="clear" w:pos="8302"/>
        </w:tabs>
        <w:spacing w:line="240" w:lineRule="auto"/>
        <w:rPr>
          <w:rFonts w:ascii="宋体" w:hAnsi="宋体" w:cs="宋体"/>
          <w:b w:val="0"/>
          <w:sz w:val="20"/>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 TOC \o "1-3" \h \z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"_Toc68115847" </w:instrText>
      </w:r>
      <w:r>
        <w:rPr>
          <w:highlight w:val="none"/>
        </w:rPr>
        <w:fldChar w:fldCharType="separate"/>
      </w:r>
      <w:r>
        <w:rPr>
          <w:rStyle w:val="18"/>
          <w:rFonts w:hint="eastAsia" w:ascii="宋体" w:hAnsi="宋体" w:cs="宋体"/>
          <w:snapToGrid w:val="0"/>
          <w:color w:val="auto"/>
          <w:kern w:val="0"/>
          <w:sz w:val="20"/>
          <w:highlight w:val="none"/>
        </w:rPr>
        <w:t>第一章  比选公告</w:t>
      </w:r>
      <w:r>
        <w:rPr>
          <w:rFonts w:hint="eastAsia" w:ascii="宋体" w:hAnsi="宋体" w:cs="宋体"/>
          <w:sz w:val="20"/>
          <w:highlight w:val="none"/>
        </w:rPr>
        <w:tab/>
      </w:r>
      <w:r>
        <w:rPr>
          <w:rFonts w:hint="eastAsia" w:ascii="宋体" w:hAnsi="宋体" w:cs="宋体"/>
          <w:sz w:val="20"/>
          <w:highlight w:val="none"/>
        </w:rPr>
        <w:t>3</w:t>
      </w:r>
      <w:r>
        <w:rPr>
          <w:rFonts w:hint="eastAsia" w:ascii="宋体" w:hAnsi="宋体" w:cs="宋体"/>
          <w:sz w:val="20"/>
          <w:highlight w:val="none"/>
        </w:rPr>
        <w:fldChar w:fldCharType="end"/>
      </w:r>
    </w:p>
    <w:p w14:paraId="5EABA29F">
      <w:pPr>
        <w:pStyle w:val="11"/>
        <w:tabs>
          <w:tab w:val="right" w:leader="dot" w:pos="9459"/>
          <w:tab w:val="clear" w:pos="8302"/>
        </w:tabs>
        <w:spacing w:line="240" w:lineRule="auto"/>
        <w:rPr>
          <w:rFonts w:hint="eastAsia" w:ascii="宋体" w:hAnsi="宋体" w:eastAsia="宋体" w:cs="宋体"/>
          <w:b w:val="0"/>
          <w:sz w:val="20"/>
          <w:highlight w:val="none"/>
          <w:lang w:eastAsia="zh-CN"/>
        </w:rPr>
      </w:pPr>
      <w:r>
        <w:rPr>
          <w:highlight w:val="none"/>
        </w:rPr>
        <w:fldChar w:fldCharType="begin"/>
      </w:r>
      <w:r>
        <w:rPr>
          <w:highlight w:val="none"/>
        </w:rPr>
        <w:instrText xml:space="preserve"> HYPERLINK \l "_Toc68115854" </w:instrText>
      </w:r>
      <w:r>
        <w:rPr>
          <w:highlight w:val="none"/>
        </w:rPr>
        <w:fldChar w:fldCharType="separate"/>
      </w:r>
      <w:r>
        <w:rPr>
          <w:rStyle w:val="18"/>
          <w:rFonts w:hint="eastAsia" w:ascii="宋体" w:hAnsi="宋体" w:cs="宋体"/>
          <w:snapToGrid w:val="0"/>
          <w:color w:val="auto"/>
          <w:kern w:val="0"/>
          <w:sz w:val="20"/>
          <w:highlight w:val="none"/>
        </w:rPr>
        <w:t>第二章  参选人须知</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7</w:t>
      </w:r>
    </w:p>
    <w:p w14:paraId="64232FB9">
      <w:pPr>
        <w:pStyle w:val="11"/>
        <w:tabs>
          <w:tab w:val="right" w:leader="dot" w:pos="9459"/>
          <w:tab w:val="clear" w:pos="8302"/>
        </w:tabs>
        <w:spacing w:line="240" w:lineRule="auto"/>
        <w:rPr>
          <w:rFonts w:hint="default" w:ascii="宋体" w:hAnsi="宋体" w:eastAsia="宋体" w:cs="宋体"/>
          <w:b w:val="0"/>
          <w:sz w:val="20"/>
          <w:highlight w:val="none"/>
          <w:lang w:val="en-US" w:eastAsia="zh-CN"/>
        </w:rPr>
      </w:pPr>
      <w:r>
        <w:rPr>
          <w:highlight w:val="none"/>
        </w:rPr>
        <w:fldChar w:fldCharType="begin"/>
      </w:r>
      <w:r>
        <w:rPr>
          <w:highlight w:val="none"/>
        </w:rPr>
        <w:instrText xml:space="preserve"> HYPERLINK \l "_Toc68115907" </w:instrText>
      </w:r>
      <w:r>
        <w:rPr>
          <w:highlight w:val="none"/>
        </w:rPr>
        <w:fldChar w:fldCharType="separate"/>
      </w:r>
      <w:r>
        <w:rPr>
          <w:rStyle w:val="18"/>
          <w:rFonts w:hint="eastAsia" w:ascii="宋体" w:hAnsi="宋体" w:cs="宋体"/>
          <w:color w:val="auto"/>
          <w:sz w:val="20"/>
          <w:highlight w:val="none"/>
        </w:rPr>
        <w:t>第三章  评标办法（综合评估法）</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15</w:t>
      </w:r>
    </w:p>
    <w:p w14:paraId="12F3DA4A">
      <w:pPr>
        <w:pStyle w:val="11"/>
        <w:tabs>
          <w:tab w:val="right" w:leader="dot" w:pos="9459"/>
          <w:tab w:val="clear" w:pos="8302"/>
        </w:tabs>
        <w:spacing w:line="240" w:lineRule="auto"/>
        <w:rPr>
          <w:rFonts w:hint="default" w:ascii="宋体" w:hAnsi="宋体" w:eastAsia="宋体" w:cs="宋体"/>
          <w:b w:val="0"/>
          <w:sz w:val="20"/>
          <w:highlight w:val="none"/>
          <w:lang w:val="en-US" w:eastAsia="zh-CN"/>
        </w:rPr>
      </w:pPr>
      <w:r>
        <w:rPr>
          <w:highlight w:val="none"/>
        </w:rPr>
        <w:fldChar w:fldCharType="begin"/>
      </w:r>
      <w:r>
        <w:rPr>
          <w:highlight w:val="none"/>
        </w:rPr>
        <w:instrText xml:space="preserve"> HYPERLINK \l "_Toc68115918" </w:instrText>
      </w:r>
      <w:r>
        <w:rPr>
          <w:highlight w:val="none"/>
        </w:rPr>
        <w:fldChar w:fldCharType="separate"/>
      </w:r>
      <w:r>
        <w:rPr>
          <w:rStyle w:val="18"/>
          <w:rFonts w:hint="eastAsia" w:ascii="宋体" w:hAnsi="宋体" w:cs="宋体"/>
          <w:color w:val="auto"/>
          <w:kern w:val="0"/>
          <w:sz w:val="20"/>
          <w:highlight w:val="none"/>
        </w:rPr>
        <w:t>第四章  合同主要条款</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18</w:t>
      </w:r>
    </w:p>
    <w:p w14:paraId="2EB5EDE9">
      <w:pPr>
        <w:pStyle w:val="11"/>
        <w:tabs>
          <w:tab w:val="right" w:leader="dot" w:pos="9459"/>
          <w:tab w:val="clear" w:pos="8302"/>
        </w:tabs>
        <w:spacing w:line="240" w:lineRule="auto"/>
        <w:rPr>
          <w:rFonts w:hint="default" w:ascii="宋体" w:hAnsi="宋体" w:eastAsia="宋体" w:cs="宋体"/>
          <w:b w:val="0"/>
          <w:sz w:val="20"/>
          <w:highlight w:val="none"/>
          <w:lang w:val="en-US" w:eastAsia="zh-CN"/>
        </w:rPr>
      </w:pPr>
      <w:r>
        <w:rPr>
          <w:highlight w:val="none"/>
        </w:rPr>
        <w:fldChar w:fldCharType="begin"/>
      </w:r>
      <w:r>
        <w:rPr>
          <w:highlight w:val="none"/>
        </w:rPr>
        <w:instrText xml:space="preserve"> HYPERLINK \l "_Toc68115920" </w:instrText>
      </w:r>
      <w:r>
        <w:rPr>
          <w:highlight w:val="none"/>
        </w:rPr>
        <w:fldChar w:fldCharType="separate"/>
      </w:r>
      <w:r>
        <w:rPr>
          <w:rStyle w:val="18"/>
          <w:rFonts w:hint="eastAsia" w:ascii="宋体" w:hAnsi="宋体" w:cs="宋体"/>
          <w:color w:val="auto"/>
          <w:sz w:val="20"/>
          <w:highlight w:val="none"/>
        </w:rPr>
        <w:t>第</w:t>
      </w:r>
      <w:r>
        <w:rPr>
          <w:rStyle w:val="18"/>
          <w:rFonts w:hint="eastAsia" w:ascii="宋体" w:hAnsi="宋体" w:cs="宋体"/>
          <w:color w:val="auto"/>
          <w:sz w:val="20"/>
          <w:highlight w:val="none"/>
          <w:lang w:val="en-US" w:eastAsia="zh-CN"/>
        </w:rPr>
        <w:t>五</w:t>
      </w:r>
      <w:r>
        <w:rPr>
          <w:rStyle w:val="18"/>
          <w:rFonts w:hint="eastAsia" w:ascii="宋体" w:hAnsi="宋体" w:cs="宋体"/>
          <w:color w:val="auto"/>
          <w:sz w:val="20"/>
          <w:highlight w:val="none"/>
        </w:rPr>
        <w:t>章  参选文件格式</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23</w:t>
      </w:r>
    </w:p>
    <w:p w14:paraId="29626F4B">
      <w:pPr>
        <w:spacing w:line="560" w:lineRule="exact"/>
        <w:jc w:val="center"/>
        <w:rPr>
          <w:rFonts w:ascii="宋体" w:hAnsi="宋体" w:cs="宋体"/>
          <w:bCs/>
          <w:sz w:val="20"/>
          <w:szCs w:val="20"/>
          <w:highlight w:val="none"/>
          <w:lang w:val="zh-CN"/>
        </w:rPr>
      </w:pPr>
      <w:r>
        <w:rPr>
          <w:rFonts w:hint="eastAsia" w:ascii="宋体" w:hAnsi="宋体" w:cs="宋体"/>
          <w:bCs/>
          <w:sz w:val="20"/>
          <w:szCs w:val="20"/>
          <w:highlight w:val="none"/>
          <w:lang w:val="zh-CN"/>
        </w:rPr>
        <w:fldChar w:fldCharType="end"/>
      </w:r>
    </w:p>
    <w:p w14:paraId="1B5A15BD">
      <w:pPr>
        <w:spacing w:line="560" w:lineRule="exact"/>
        <w:jc w:val="center"/>
        <w:rPr>
          <w:rFonts w:ascii="宋体" w:hAnsi="宋体" w:cs="宋体"/>
          <w:bCs/>
          <w:sz w:val="20"/>
          <w:szCs w:val="20"/>
          <w:highlight w:val="none"/>
          <w:lang w:val="zh-CN"/>
        </w:rPr>
      </w:pPr>
    </w:p>
    <w:p w14:paraId="226D8B80">
      <w:pPr>
        <w:spacing w:line="560" w:lineRule="exact"/>
        <w:jc w:val="center"/>
        <w:rPr>
          <w:rFonts w:ascii="宋体" w:hAnsi="宋体" w:cs="宋体"/>
          <w:bCs/>
          <w:sz w:val="20"/>
          <w:szCs w:val="20"/>
          <w:highlight w:val="none"/>
          <w:lang w:val="zh-CN"/>
        </w:rPr>
      </w:pPr>
    </w:p>
    <w:p w14:paraId="50BEE6B7">
      <w:pPr>
        <w:spacing w:line="560" w:lineRule="exact"/>
        <w:jc w:val="center"/>
        <w:rPr>
          <w:rFonts w:ascii="宋体" w:hAnsi="宋体" w:cs="宋体"/>
          <w:bCs/>
          <w:sz w:val="20"/>
          <w:szCs w:val="20"/>
          <w:highlight w:val="none"/>
          <w:lang w:val="zh-CN"/>
        </w:rPr>
      </w:pPr>
    </w:p>
    <w:p w14:paraId="1F4D0316">
      <w:pPr>
        <w:spacing w:line="560" w:lineRule="exact"/>
        <w:jc w:val="center"/>
        <w:rPr>
          <w:rFonts w:ascii="宋体" w:hAnsi="宋体" w:cs="宋体"/>
          <w:bCs/>
          <w:sz w:val="20"/>
          <w:szCs w:val="20"/>
          <w:highlight w:val="none"/>
          <w:lang w:val="zh-CN"/>
        </w:rPr>
      </w:pPr>
    </w:p>
    <w:p w14:paraId="30736A1E">
      <w:pPr>
        <w:spacing w:line="560" w:lineRule="exact"/>
        <w:jc w:val="center"/>
        <w:rPr>
          <w:rFonts w:ascii="宋体" w:hAnsi="宋体" w:cs="宋体"/>
          <w:bCs/>
          <w:sz w:val="20"/>
          <w:szCs w:val="20"/>
          <w:highlight w:val="none"/>
          <w:lang w:val="zh-CN"/>
        </w:rPr>
      </w:pPr>
    </w:p>
    <w:p w14:paraId="7B02A235">
      <w:pPr>
        <w:spacing w:line="560" w:lineRule="exact"/>
        <w:jc w:val="center"/>
        <w:rPr>
          <w:rFonts w:ascii="宋体" w:hAnsi="宋体" w:cs="宋体"/>
          <w:bCs/>
          <w:sz w:val="20"/>
          <w:szCs w:val="20"/>
          <w:highlight w:val="none"/>
          <w:lang w:val="zh-CN"/>
        </w:rPr>
      </w:pPr>
    </w:p>
    <w:p w14:paraId="7DC06B82">
      <w:pPr>
        <w:spacing w:line="560" w:lineRule="exact"/>
        <w:jc w:val="center"/>
        <w:rPr>
          <w:rFonts w:ascii="宋体" w:hAnsi="宋体" w:cs="宋体"/>
          <w:bCs/>
          <w:sz w:val="20"/>
          <w:szCs w:val="20"/>
          <w:highlight w:val="none"/>
          <w:lang w:val="zh-CN"/>
        </w:rPr>
      </w:pPr>
    </w:p>
    <w:p w14:paraId="0EA5226F">
      <w:pPr>
        <w:spacing w:line="560" w:lineRule="exact"/>
        <w:jc w:val="center"/>
        <w:rPr>
          <w:rFonts w:ascii="宋体" w:hAnsi="宋体" w:cs="宋体"/>
          <w:bCs/>
          <w:sz w:val="20"/>
          <w:szCs w:val="20"/>
          <w:highlight w:val="none"/>
          <w:lang w:val="zh-CN"/>
        </w:rPr>
      </w:pPr>
    </w:p>
    <w:p w14:paraId="62BB1701">
      <w:pPr>
        <w:spacing w:line="560" w:lineRule="exact"/>
        <w:jc w:val="center"/>
        <w:rPr>
          <w:rFonts w:ascii="宋体" w:hAnsi="宋体" w:cs="宋体"/>
          <w:bCs/>
          <w:sz w:val="20"/>
          <w:szCs w:val="20"/>
          <w:highlight w:val="none"/>
          <w:lang w:val="zh-CN"/>
        </w:rPr>
      </w:pPr>
    </w:p>
    <w:p w14:paraId="6506D55D">
      <w:pPr>
        <w:spacing w:line="560" w:lineRule="exact"/>
        <w:jc w:val="center"/>
        <w:rPr>
          <w:rFonts w:ascii="宋体" w:hAnsi="宋体" w:cs="宋体"/>
          <w:bCs/>
          <w:sz w:val="20"/>
          <w:szCs w:val="20"/>
          <w:highlight w:val="none"/>
          <w:lang w:val="zh-CN"/>
        </w:rPr>
      </w:pPr>
    </w:p>
    <w:p w14:paraId="69290BD2">
      <w:pPr>
        <w:rPr>
          <w:lang w:val="zh-CN"/>
        </w:rPr>
      </w:pPr>
      <w:r>
        <w:rPr>
          <w:lang w:val="zh-CN"/>
        </w:rPr>
        <w:br w:type="page"/>
      </w:r>
    </w:p>
    <w:p w14:paraId="13F6D37E">
      <w:pPr>
        <w:pStyle w:val="2"/>
        <w:rPr>
          <w:lang w:val="zh-CN"/>
        </w:rPr>
      </w:pPr>
    </w:p>
    <w:p w14:paraId="39623E52">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rPr>
        <w:t>比选公告</w:t>
      </w:r>
    </w:p>
    <w:p w14:paraId="12DBA381">
      <w:pPr>
        <w:autoSpaceDE w:val="0"/>
        <w:autoSpaceDN w:val="0"/>
        <w:adjustRightInd w:val="0"/>
        <w:snapToGrid w:val="0"/>
        <w:spacing w:line="360" w:lineRule="auto"/>
        <w:jc w:val="center"/>
        <w:outlineLvl w:val="1"/>
        <w:rPr>
          <w:rFonts w:hint="eastAsia" w:ascii="宋体" w:hAnsi="宋体" w:eastAsia="宋体" w:cs="宋体"/>
          <w:b/>
          <w:bCs/>
          <w:snapToGrid w:val="0"/>
          <w:w w:val="99"/>
          <w:kern w:val="0"/>
          <w:sz w:val="28"/>
          <w:szCs w:val="28"/>
          <w:highlight w:val="none"/>
        </w:rPr>
      </w:pPr>
      <w:r>
        <w:rPr>
          <w:rFonts w:hint="eastAsia" w:ascii="宋体" w:hAnsi="宋体" w:cs="宋体"/>
          <w:b/>
          <w:bCs/>
          <w:snapToGrid w:val="0"/>
          <w:kern w:val="0"/>
          <w:sz w:val="28"/>
          <w:szCs w:val="28"/>
          <w:highlight w:val="none"/>
          <w:lang w:val="en-US" w:eastAsia="zh-CN"/>
        </w:rPr>
        <w:t>阿依河景区夜景灯饰及声光电提升EPC工程</w:t>
      </w:r>
      <w:r>
        <w:rPr>
          <w:rFonts w:hint="eastAsia" w:ascii="宋体" w:hAnsi="宋体" w:eastAsia="宋体" w:cs="宋体"/>
          <w:b/>
          <w:bCs/>
          <w:snapToGrid w:val="0"/>
          <w:kern w:val="0"/>
          <w:sz w:val="28"/>
          <w:szCs w:val="28"/>
          <w:highlight w:val="none"/>
        </w:rPr>
        <w:t>比选公告</w:t>
      </w:r>
    </w:p>
    <w:p w14:paraId="5EA65C94">
      <w:pPr>
        <w:pStyle w:val="4"/>
        <w:pageBreakBefore w:val="0"/>
        <w:widowControl w:val="0"/>
        <w:kinsoku/>
        <w:wordWrap/>
        <w:overflowPunct/>
        <w:topLinePunct w:val="0"/>
        <w:bidi w:val="0"/>
        <w:spacing w:before="0" w:after="0" w:line="400" w:lineRule="exact"/>
        <w:textAlignment w:val="auto"/>
        <w:rPr>
          <w:rFonts w:hint="default" w:ascii="宋体" w:hAnsi="宋体" w:eastAsia="宋体"/>
          <w:snapToGrid w:val="0"/>
          <w:sz w:val="28"/>
          <w:szCs w:val="28"/>
          <w:highlight w:val="none"/>
          <w:lang w:val="en-US" w:eastAsia="zh-CN"/>
        </w:rPr>
      </w:pPr>
      <w:r>
        <w:rPr>
          <w:rFonts w:hint="eastAsia" w:ascii="宋体" w:hAnsi="宋体"/>
          <w:snapToGrid w:val="0"/>
          <w:sz w:val="28"/>
          <w:szCs w:val="28"/>
          <w:highlight w:val="none"/>
          <w:lang w:val="en-US" w:eastAsia="zh-CN"/>
        </w:rPr>
        <w:t>1.比选条件</w:t>
      </w:r>
    </w:p>
    <w:p w14:paraId="4E5B7588">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sz w:val="20"/>
          <w:szCs w:val="22"/>
          <w:highlight w:val="none"/>
        </w:rPr>
      </w:pPr>
      <w:r>
        <w:rPr>
          <w:rFonts w:ascii="宋体" w:hAnsi="宋体"/>
          <w:snapToGrid w:val="0"/>
          <w:kern w:val="0"/>
          <w:szCs w:val="21"/>
          <w:highlight w:val="none"/>
        </w:rPr>
        <w:t>本比选项目</w:t>
      </w:r>
      <w:r>
        <w:rPr>
          <w:rFonts w:hint="eastAsia" w:ascii="宋体" w:hAnsi="宋体"/>
          <w:snapToGrid w:val="0"/>
          <w:kern w:val="0"/>
          <w:szCs w:val="21"/>
          <w:highlight w:val="none"/>
          <w:lang w:val="en-US" w:eastAsia="zh-CN"/>
        </w:rPr>
        <w:t>阿依河景区夜景灯饰及声光电提升EPC工程</w:t>
      </w:r>
      <w:r>
        <w:rPr>
          <w:rFonts w:ascii="宋体" w:hAnsi="宋体"/>
          <w:snapToGrid w:val="0"/>
          <w:kern w:val="0"/>
          <w:szCs w:val="21"/>
          <w:highlight w:val="none"/>
        </w:rPr>
        <w:t>，项目业主为</w:t>
      </w:r>
      <w:r>
        <w:rPr>
          <w:rFonts w:hint="eastAsia" w:ascii="宋体" w:hAnsi="宋体"/>
          <w:snapToGrid w:val="0"/>
          <w:kern w:val="0"/>
          <w:szCs w:val="21"/>
          <w:highlight w:val="none"/>
          <w:u w:val="single"/>
          <w:lang w:val="en-US" w:eastAsia="zh-CN"/>
        </w:rPr>
        <w:t>重庆乌江画廊旅游开发有限公司阿依河分公司</w:t>
      </w:r>
      <w:r>
        <w:rPr>
          <w:rFonts w:ascii="宋体" w:hAnsi="宋体"/>
          <w:snapToGrid w:val="0"/>
          <w:kern w:val="0"/>
          <w:szCs w:val="21"/>
          <w:highlight w:val="none"/>
        </w:rPr>
        <w:t>，资金来自</w:t>
      </w:r>
      <w:r>
        <w:rPr>
          <w:rFonts w:hint="eastAsia" w:ascii="宋体" w:hAnsi="宋体"/>
          <w:snapToGrid w:val="0"/>
          <w:kern w:val="0"/>
          <w:szCs w:val="21"/>
          <w:highlight w:val="none"/>
          <w:u w:val="single"/>
        </w:rPr>
        <w:t>自筹</w:t>
      </w:r>
      <w:r>
        <w:rPr>
          <w:rFonts w:ascii="宋体" w:hAnsi="宋体"/>
          <w:snapToGrid w:val="0"/>
          <w:kern w:val="0"/>
          <w:szCs w:val="21"/>
          <w:highlight w:val="none"/>
        </w:rPr>
        <w:t>，项目出资比例为</w:t>
      </w:r>
      <w:r>
        <w:rPr>
          <w:rFonts w:ascii="宋体" w:hAnsi="宋体"/>
          <w:snapToGrid w:val="0"/>
          <w:kern w:val="0"/>
          <w:szCs w:val="21"/>
          <w:highlight w:val="none"/>
          <w:u w:val="single"/>
        </w:rPr>
        <w:t>100%</w:t>
      </w:r>
      <w:r>
        <w:rPr>
          <w:rFonts w:ascii="宋体" w:hAnsi="宋体"/>
          <w:snapToGrid w:val="0"/>
          <w:kern w:val="0"/>
          <w:szCs w:val="21"/>
          <w:highlight w:val="none"/>
        </w:rPr>
        <w:t>，比选人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val="en-US" w:eastAsia="zh-CN"/>
        </w:rPr>
        <w:t>重庆乌江画廊旅游开发有限公司阿依河分公司</w:t>
      </w:r>
      <w:r>
        <w:rPr>
          <w:rFonts w:ascii="宋体" w:hAnsi="宋体"/>
          <w:snapToGrid w:val="0"/>
          <w:kern w:val="0"/>
          <w:position w:val="-2"/>
          <w:szCs w:val="21"/>
          <w:highlight w:val="none"/>
        </w:rPr>
        <w:t>。项目已具备比选条件，</w:t>
      </w:r>
      <w:r>
        <w:rPr>
          <w:rFonts w:hint="eastAsia" w:ascii="宋体" w:hAnsi="宋体"/>
          <w:snapToGrid w:val="0"/>
          <w:kern w:val="0"/>
          <w:position w:val="-2"/>
          <w:szCs w:val="21"/>
          <w:highlight w:val="none"/>
        </w:rPr>
        <w:t>现对本项目进行公开比选</w:t>
      </w:r>
      <w:r>
        <w:rPr>
          <w:rFonts w:ascii="宋体" w:hAnsi="宋体"/>
          <w:snapToGrid w:val="0"/>
          <w:kern w:val="0"/>
          <w:position w:val="-2"/>
          <w:szCs w:val="21"/>
          <w:highlight w:val="none"/>
        </w:rPr>
        <w:t>。</w:t>
      </w:r>
    </w:p>
    <w:p w14:paraId="1424139D">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2.</w:t>
      </w:r>
      <w:r>
        <w:rPr>
          <w:rFonts w:ascii="宋体" w:hAnsi="宋体"/>
          <w:snapToGrid w:val="0"/>
          <w:sz w:val="28"/>
          <w:szCs w:val="28"/>
          <w:highlight w:val="none"/>
        </w:rPr>
        <w:t>项目概况与比选范围</w:t>
      </w:r>
    </w:p>
    <w:p w14:paraId="6015198C">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eastAsia="宋体" w:cs="Times New Roman"/>
          <w:snapToGrid w:val="0"/>
          <w:kern w:val="0"/>
          <w:szCs w:val="21"/>
          <w:highlight w:val="none"/>
          <w:u w:val="single"/>
          <w:lang w:val="en-US"/>
        </w:rPr>
      </w:pPr>
      <w:r>
        <w:rPr>
          <w:rFonts w:hint="eastAsia" w:ascii="宋体" w:hAnsi="宋体"/>
          <w:b/>
          <w:bCs/>
          <w:snapToGrid w:val="0"/>
          <w:kern w:val="0"/>
          <w:szCs w:val="21"/>
          <w:highlight w:val="none"/>
        </w:rPr>
        <w:t>2.1项目地点：</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w:t>
      </w:r>
      <w:r>
        <w:rPr>
          <w:rFonts w:hint="eastAsia" w:ascii="宋体" w:hAnsi="宋体" w:cs="Times New Roman"/>
          <w:snapToGrid w:val="0"/>
          <w:kern w:val="0"/>
          <w:szCs w:val="21"/>
          <w:highlight w:val="none"/>
          <w:u w:val="single"/>
          <w:lang w:val="en-US" w:eastAsia="zh-CN"/>
        </w:rPr>
        <w:t>岩头坝区域。</w:t>
      </w:r>
    </w:p>
    <w:p w14:paraId="2DE81345">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Times New Roman"/>
          <w:snapToGrid w:val="0"/>
          <w:kern w:val="0"/>
          <w:szCs w:val="21"/>
          <w:highlight w:val="yellow"/>
          <w:u w:val="single"/>
          <w:lang w:val="en-US" w:eastAsia="zh-CN"/>
        </w:rPr>
      </w:pPr>
      <w:r>
        <w:rPr>
          <w:rFonts w:hint="eastAsia" w:ascii="宋体" w:hAnsi="宋体"/>
          <w:b/>
          <w:bCs/>
          <w:snapToGrid w:val="0"/>
          <w:kern w:val="0"/>
          <w:szCs w:val="21"/>
          <w:highlight w:val="none"/>
        </w:rPr>
        <w:t>2.2项目概况：</w:t>
      </w:r>
      <w:r>
        <w:rPr>
          <w:rFonts w:hint="eastAsia" w:ascii="宋体" w:hAnsi="宋体"/>
          <w:snapToGrid w:val="0"/>
          <w:kern w:val="0"/>
          <w:szCs w:val="21"/>
          <w:highlight w:val="none"/>
          <w:u w:val="single"/>
        </w:rPr>
        <w:t>本项目</w:t>
      </w:r>
      <w:r>
        <w:rPr>
          <w:rFonts w:hint="eastAsia" w:ascii="宋体" w:hAnsi="宋体"/>
          <w:snapToGrid w:val="0"/>
          <w:kern w:val="0"/>
          <w:szCs w:val="21"/>
          <w:highlight w:val="none"/>
          <w:u w:val="single"/>
          <w:lang w:val="en-US" w:eastAsia="zh-CN"/>
        </w:rPr>
        <w:t>中</w:t>
      </w:r>
      <w:r>
        <w:rPr>
          <w:rFonts w:hint="eastAsia" w:ascii="宋体" w:hAnsi="宋体" w:cs="Times New Roman"/>
          <w:snapToGrid w:val="0"/>
          <w:kern w:val="0"/>
          <w:szCs w:val="21"/>
          <w:highlight w:val="none"/>
          <w:u w:val="single"/>
          <w:lang w:val="en-US" w:eastAsia="zh-CN"/>
        </w:rPr>
        <w:t>阿依河景区夜景灯饰及声光电提升</w:t>
      </w:r>
      <w:r>
        <w:rPr>
          <w:rFonts w:hint="eastAsia" w:ascii="宋体" w:hAnsi="宋体" w:eastAsia="宋体" w:cs="Times New Roman"/>
          <w:snapToGrid w:val="0"/>
          <w:kern w:val="0"/>
          <w:szCs w:val="21"/>
          <w:highlight w:val="none"/>
          <w:u w:val="single"/>
          <w:lang w:val="en-US" w:eastAsia="zh-CN"/>
        </w:rPr>
        <w:t>所涉及面积约</w:t>
      </w:r>
      <w:r>
        <w:rPr>
          <w:rFonts w:hint="eastAsia" w:ascii="宋体" w:hAnsi="宋体" w:cs="Times New Roman"/>
          <w:snapToGrid w:val="0"/>
          <w:kern w:val="0"/>
          <w:szCs w:val="21"/>
          <w:highlight w:val="none"/>
          <w:u w:val="single"/>
          <w:lang w:val="en-US" w:eastAsia="zh-CN"/>
        </w:rPr>
        <w:t>10000</w:t>
      </w:r>
      <w:r>
        <w:rPr>
          <w:rFonts w:hint="eastAsia" w:ascii="宋体" w:hAnsi="宋体" w:eastAsia="宋体" w:cs="Times New Roman"/>
          <w:snapToGrid w:val="0"/>
          <w:kern w:val="0"/>
          <w:szCs w:val="21"/>
          <w:highlight w:val="none"/>
          <w:u w:val="single"/>
          <w:lang w:val="en-US" w:eastAsia="zh-CN"/>
        </w:rPr>
        <w:t>㎡（</w:t>
      </w:r>
      <w:r>
        <w:rPr>
          <w:rFonts w:hint="eastAsia" w:ascii="宋体" w:hAnsi="宋体" w:cs="Times New Roman"/>
          <w:snapToGrid w:val="0"/>
          <w:kern w:val="0"/>
          <w:szCs w:val="21"/>
          <w:highlight w:val="none"/>
          <w:u w:val="single"/>
          <w:lang w:val="en-US" w:eastAsia="zh-CN"/>
        </w:rPr>
        <w:t>室外景观区域）</w:t>
      </w:r>
      <w:r>
        <w:rPr>
          <w:rFonts w:hint="eastAsia" w:ascii="宋体" w:hAnsi="宋体" w:eastAsia="宋体" w:cs="Times New Roman"/>
          <w:snapToGrid w:val="0"/>
          <w:kern w:val="0"/>
          <w:szCs w:val="21"/>
          <w:highlight w:val="none"/>
          <w:u w:val="single"/>
          <w:lang w:val="en-US" w:eastAsia="zh-CN"/>
        </w:rPr>
        <w:t>，总金额暂定约</w:t>
      </w:r>
      <w:r>
        <w:rPr>
          <w:rFonts w:hint="eastAsia" w:ascii="宋体" w:hAnsi="宋体" w:cs="Times New Roman"/>
          <w:snapToGrid w:val="0"/>
          <w:kern w:val="0"/>
          <w:szCs w:val="21"/>
          <w:highlight w:val="none"/>
          <w:u w:val="single"/>
          <w:lang w:val="en-US" w:eastAsia="zh-CN"/>
        </w:rPr>
        <w:t>171.31</w:t>
      </w:r>
      <w:r>
        <w:rPr>
          <w:rFonts w:hint="eastAsia" w:ascii="宋体" w:hAnsi="宋体" w:eastAsia="宋体" w:cs="Times New Roman"/>
          <w:snapToGrid w:val="0"/>
          <w:kern w:val="0"/>
          <w:szCs w:val="21"/>
          <w:highlight w:val="none"/>
          <w:u w:val="single"/>
          <w:lang w:val="en-US" w:eastAsia="zh-CN"/>
        </w:rPr>
        <w:t>万元，最终以甲方确定为准。比选人拟通过对阿依河围绕景区入口广场等核心节点开展夜景亮化、声光电系统集成，融合彭水苗族民俗文化打造夜游沉浸式实景演艺空间。</w:t>
      </w:r>
    </w:p>
    <w:p w14:paraId="1A4D78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napToGrid w:val="0"/>
          <w:kern w:val="0"/>
          <w:sz w:val="21"/>
          <w:szCs w:val="21"/>
          <w:highlight w:val="none"/>
          <w:u w:val="single"/>
          <w:lang w:val="en-US" w:eastAsia="zh-CN" w:bidi="ar-SA"/>
        </w:rPr>
      </w:pPr>
      <w:r>
        <w:rPr>
          <w:rFonts w:hint="eastAsia" w:ascii="宋体" w:hAnsi="宋体" w:eastAsia="宋体" w:cs="Times New Roman"/>
          <w:snapToGrid w:val="0"/>
          <w:kern w:val="0"/>
          <w:sz w:val="21"/>
          <w:szCs w:val="21"/>
          <w:highlight w:val="none"/>
          <w:u w:val="single"/>
          <w:lang w:val="en-US" w:eastAsia="zh-CN" w:bidi="ar-SA"/>
        </w:rPr>
        <w:t>主要改造内容如下：①夜景</w:t>
      </w:r>
      <w:r>
        <w:rPr>
          <w:rFonts w:hint="eastAsia" w:ascii="宋体" w:hAnsi="宋体" w:cs="Times New Roman"/>
          <w:snapToGrid w:val="0"/>
          <w:kern w:val="0"/>
          <w:sz w:val="21"/>
          <w:szCs w:val="21"/>
          <w:highlight w:val="none"/>
          <w:u w:val="single"/>
          <w:lang w:val="en-US" w:eastAsia="zh-CN" w:bidi="ar-SA"/>
        </w:rPr>
        <w:t>安装工程</w:t>
      </w:r>
      <w:r>
        <w:rPr>
          <w:rFonts w:hint="eastAsia" w:ascii="宋体" w:hAnsi="宋体" w:eastAsia="宋体" w:cs="Times New Roman"/>
          <w:snapToGrid w:val="0"/>
          <w:kern w:val="0"/>
          <w:sz w:val="21"/>
          <w:szCs w:val="21"/>
          <w:highlight w:val="none"/>
          <w:u w:val="single"/>
          <w:lang w:val="en-US" w:eastAsia="zh-CN" w:bidi="ar-SA"/>
        </w:rPr>
        <w:t>：建构筑物轮廓照明、景观绿植照明、步道功能性与氛围照明布设，依托演艺场景布局分层分级布光，匹配沉浸式演出夜间基础光影环境。②声光电集成工程：全域集中智能控制及数字网络传输系统、多媒体灯光秀系统、全景声环绕音响、多点位虚拟现实投影、特效灯光、光雾特效控制系统采购安装调试，满足演艺节目分幕、分场景一键联动启停，实现演艺声光特效同步控制。</w:t>
      </w:r>
    </w:p>
    <w:p w14:paraId="6CF8208A">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b/>
          <w:bCs/>
          <w:snapToGrid w:val="0"/>
          <w:kern w:val="0"/>
          <w:szCs w:val="21"/>
          <w:highlight w:val="none"/>
        </w:rPr>
        <w:t>2.3比选范围</w:t>
      </w:r>
      <w:r>
        <w:rPr>
          <w:rFonts w:hint="eastAsia" w:ascii="宋体" w:hAnsi="宋体"/>
          <w:b/>
          <w:bCs/>
          <w:snapToGrid w:val="0"/>
          <w:kern w:val="0"/>
          <w:szCs w:val="21"/>
          <w:highlight w:val="none"/>
          <w:lang w:val="en-US" w:eastAsia="zh-CN"/>
        </w:rPr>
        <w:t>及服务内容</w:t>
      </w:r>
      <w:r>
        <w:rPr>
          <w:rFonts w:hint="eastAsia" w:ascii="宋体" w:hAnsi="宋体"/>
          <w:b/>
          <w:bCs/>
          <w:snapToGrid w:val="0"/>
          <w:kern w:val="0"/>
          <w:szCs w:val="21"/>
          <w:highlight w:val="none"/>
        </w:rPr>
        <w:t>：</w:t>
      </w:r>
      <w:r>
        <w:rPr>
          <w:rFonts w:hint="eastAsia" w:ascii="宋体" w:hAnsi="宋体"/>
          <w:snapToGrid w:val="0"/>
          <w:kern w:val="0"/>
          <w:szCs w:val="21"/>
          <w:highlight w:val="none"/>
          <w:u w:val="single"/>
          <w:lang w:val="en-US" w:eastAsia="zh-CN"/>
        </w:rPr>
        <w:t>主要包括准备阶段，方案设计、安装工程施工图设计，及安装施工，具体范围为：</w:t>
      </w:r>
    </w:p>
    <w:p w14:paraId="75423874">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2.3.1准备阶段工作内容</w:t>
      </w:r>
    </w:p>
    <w:p w14:paraId="71D2A5A5">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本项目的前期现场勘察（测绘、摸底），包括但不限于对设计所涉区域的原始资料搜集（阿依河景区岩头坝区域地形图、阿依河景区相关楼栋竣工图等）、必要的现状补充测绘、评估等。</w:t>
      </w:r>
    </w:p>
    <w:p w14:paraId="5FB2BE5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2.3.2方案设计阶段工作内容</w:t>
      </w:r>
    </w:p>
    <w:p w14:paraId="79D1C85A">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根据比选人指定的本次</w:t>
      </w:r>
      <w:r>
        <w:rPr>
          <w:rFonts w:hint="eastAsia" w:ascii="宋体" w:hAnsi="宋体" w:cs="Times New Roman"/>
          <w:snapToGrid w:val="0"/>
          <w:kern w:val="0"/>
          <w:szCs w:val="21"/>
          <w:highlight w:val="none"/>
          <w:u w:val="single"/>
          <w:lang w:val="en-US" w:eastAsia="zh-CN"/>
        </w:rPr>
        <w:t>阿依河景区夜景灯饰及声光电提升</w:t>
      </w:r>
      <w:r>
        <w:rPr>
          <w:rFonts w:hint="eastAsia" w:ascii="宋体" w:hAnsi="宋体"/>
          <w:snapToGrid w:val="0"/>
          <w:kern w:val="0"/>
          <w:szCs w:val="21"/>
          <w:highlight w:val="none"/>
          <w:u w:val="single"/>
          <w:lang w:val="en-US" w:eastAsia="zh-CN"/>
        </w:rPr>
        <w:t>所涉及的范围完成方案设计，并报比选人审批。</w:t>
      </w:r>
    </w:p>
    <w:p w14:paraId="7BECA769">
      <w:pPr>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default" w:ascii="宋体" w:hAnsi="宋体"/>
          <w:snapToGrid w:val="0"/>
          <w:kern w:val="0"/>
          <w:szCs w:val="21"/>
          <w:highlight w:val="yellow"/>
          <w:u w:val="single"/>
          <w:lang w:val="en-US" w:eastAsia="zh-CN"/>
        </w:rPr>
      </w:pPr>
      <w:r>
        <w:rPr>
          <w:rFonts w:hint="eastAsia" w:ascii="宋体" w:hAnsi="宋体"/>
          <w:snapToGrid w:val="0"/>
          <w:kern w:val="0"/>
          <w:szCs w:val="21"/>
          <w:highlight w:val="none"/>
          <w:u w:val="single"/>
          <w:lang w:val="en-US" w:eastAsia="zh-CN"/>
        </w:rPr>
        <w:t>包括但不限于对阿依河景区岩头坝区域室外景观6个主要景观节点（景区入口牌坊处、牌坊往中心舞台转角处吊脚楼街巷、寨前广场大树处、中心舞台区域、苗家菜馆、篝火广场）的夜景灯饰及声光电集成系统[内容包括但不限于以下内容：①各区域的</w:t>
      </w:r>
      <w:r>
        <w:rPr>
          <w:rFonts w:hint="eastAsia"/>
          <w:highlight w:val="none"/>
          <w:u w:val="single"/>
          <w:lang w:val="en-US" w:eastAsia="zh-CN"/>
        </w:rPr>
        <w:t>扩声系统的设置，配置大声压级全天候音箱、全天候超低音箱、返听音箱等；以及配套的功率放大器、网络音频处理器、数字调音台、网络接口箱、网络管理时序电源等，实现各区域无死角大声压级全覆盖，满足大动态、宽频响、高清晰度、无啸叫的声音播放要求。②各区域的夜景灯光系统的设置，配置大功率全彩雕刻全天候激光灯以及配套的控制编程软件实现构筑物轮廓精确激光动态勾勒和其他元素叠加展现效果；配置全天候大功率切割灯、全天候大功率光束灯、大功率激光灯、全天候染色灯、适量防水电动调焦面光灯、大功率全天候烟雾机、户外萤火虫激光灯、防水投影水纹灯、电动沙幕和长焦投影机以及配套信号放大器等，实现构筑物、周边绿植景观夜景装饰功能。③控制及传输系统，利用数字网络传输技术实现各节点灯光音响设备的集中化远程控制管理，实现一键或者定时开关系统，场景模式预设和调用，灯光音响联动，具体设备包括数字调音台、数字灯光控制台、网路音频接口设备、控制系统软件平台等</w:t>
      </w:r>
      <w:r>
        <w:rPr>
          <w:rFonts w:hint="eastAsia" w:ascii="宋体" w:hAnsi="宋体"/>
          <w:snapToGrid w:val="0"/>
          <w:kern w:val="0"/>
          <w:szCs w:val="21"/>
          <w:highlight w:val="none"/>
          <w:u w:val="single"/>
          <w:lang w:val="en-US" w:eastAsia="zh-CN"/>
        </w:rPr>
        <w:t>。④动力配电系统：整套设备系统的电力系统（包括但不限于配电箱、电缆、从配电室到主控制室主动力电缆等）。]进行方案设计，</w:t>
      </w:r>
      <w:r>
        <w:rPr>
          <w:rFonts w:hint="eastAsia" w:ascii="宋体" w:hAnsi="宋体" w:cs="宋体"/>
          <w:u w:val="single"/>
          <w:lang w:val="en-US" w:eastAsia="zh-CN"/>
        </w:rPr>
        <w:t>成果应符合比选人审查要求</w:t>
      </w:r>
      <w:r>
        <w:rPr>
          <w:rFonts w:hint="eastAsia" w:ascii="宋体" w:hAnsi="宋体"/>
          <w:snapToGrid w:val="0"/>
          <w:kern w:val="0"/>
          <w:szCs w:val="21"/>
          <w:highlight w:val="none"/>
          <w:u w:val="single"/>
          <w:lang w:val="en-US" w:eastAsia="zh-CN"/>
        </w:rPr>
        <w:t>。</w:t>
      </w:r>
    </w:p>
    <w:p w14:paraId="19E564A8">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2.3.3安装工程施工图设计阶段工作内容</w:t>
      </w:r>
    </w:p>
    <w:p w14:paraId="030B8FEC">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根据比选人审定的方案设计进行施工图设计，同时编制工程预算清单，并报比选人审批。</w:t>
      </w:r>
    </w:p>
    <w:p w14:paraId="1698BC0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yellow"/>
          <w:u w:val="single"/>
          <w:lang w:val="en-US" w:eastAsia="zh-CN"/>
        </w:rPr>
      </w:pPr>
      <w:r>
        <w:rPr>
          <w:rFonts w:hint="eastAsia" w:ascii="宋体" w:hAnsi="宋体"/>
          <w:snapToGrid w:val="0"/>
          <w:kern w:val="0"/>
          <w:szCs w:val="21"/>
          <w:highlight w:val="none"/>
          <w:u w:val="single"/>
          <w:lang w:val="en-US" w:eastAsia="zh-CN"/>
        </w:rPr>
        <w:t>程施工图设计内容包括但不限于以下内容：对阿依河景区岩头坝区域室外景观6个主要景观节点（景区入口牌坊处、牌坊往中心舞台转角处吊脚楼街巷、寨前广场大树处、中心舞台区域、苗家菜馆、篝火广场）的夜景灯饰及声光电集成系统[内容包括但不限于以下内容：①各区域的扩声系统的设置，配置大声压级全天候音箱、全天候超低音箱、返听音箱等；以及配套的功率放大器、网络音频处理器、数字调音台、网络接口箱、网络管理时序电源等，实现各区域无死角大声压级全覆盖，满足大动态、宽频响、高清晰度、无啸叫的声音播放要求。②各区域的夜景灯光系统的设置，配置大功率全彩雕刻全天候激光灯以及配套的控制编程软件实现构筑物轮廓精确激光动态勾勒和其他元素叠加展现效果；配置全天候大功率切割灯、全天候大功率光束灯、大功率激光灯、全天候染色灯、适量防水电动调焦面光灯、大功率全天候烟雾机、户外萤火虫激光灯、防水投影水纹灯、电动沙幕和长焦投影机以及配套信号放大器等，实现构筑物、周边绿植景观夜景装饰功能。③控制及传输系统，利用数字网络传输技术实现各节点灯光音响设备的集中化远程控制管理，实现一键或者定时开关系统，场景模式预设和调用，灯光音响联动，具体设备包括数字调音台、数字灯光控制台、网路音频接口设备、控制系统软件平台等。④动力配电系统：整套设备系统的电力系统（包括但不限于配电箱、电缆、从配电室到主控制室主动力电缆等）。]进行进行施工图设计。</w:t>
      </w:r>
    </w:p>
    <w:p w14:paraId="292CEFD6">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2.3.4施工阶段工作内容</w:t>
      </w:r>
    </w:p>
    <w:p w14:paraId="105EF845">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施工图、预算等文件进行施工，内容包括但不限于以下内容：对阿依河景区岩头坝区域室外景观6个主要景观节点（景区入口牌坊处、牌坊往中心舞台转角处吊脚楼街巷、寨前广场大树处、中心舞台区域、苗家菜馆、篝火广场）的夜景灯饰及声光电集成系统[内容包括但不限于以下内容：①各区域的扩声系统的设置，配置大声压级全天候音箱、全天候超低音箱、返听音箱等；以及配套的功率放大器、网络音频处理器、数字调音台、网络接口箱、网络管理时序电源等，实现各区域无死角大声压级全覆盖，满足大动态、宽频响、高清晰度、无啸叫的声音播放要求。②各区域的夜景灯光系统的设置，配置大功率全彩雕刻全天候激光灯以及配套的控制编程软件实现构筑物轮廓精确激光动态勾勒和其他元素叠加展现效果；配置全天候大功率切割灯、全天候大功率光束灯、大功率激光灯、全天候染色灯、适量防水电动调焦面光灯、大功率全天候烟雾机、户外萤火虫激光灯、防水投影水纹灯、电动沙幕和长焦投影机以及配套信号放大器等，实现构筑物、周边绿植景观夜景装饰功能。③控制及传输系统，利用数字网络传输技术实现各节点灯光音响设备的集中化远程控制管理，实现一键或者定时开关系统，场景模式预设和调用，灯光音响联动，具体设备包括数字调音台、数字灯光控制台、网路音频接口设备、控制系统软件平台等。④动力配电系统：整套设备系统的电力系统（包括但不限于配电箱、电缆、从配电室到主控制室主动力电缆等）。]进行施工建设。以及为满足工程施工与经营相配套所需完成的场地准备、临时设施设备等相关工作，包括但不限于临时通道搭设、临时用水、临时用电、临时排水排污、临时开口、原有装饰材料拆除清运（如有）等工作，及为确保安全文明施工的各项保障措施、工作。</w:t>
      </w:r>
    </w:p>
    <w:p w14:paraId="2AEEEF5A">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eastAsia="宋体"/>
          <w:b/>
          <w:bCs/>
          <w:snapToGrid w:val="0"/>
          <w:kern w:val="0"/>
          <w:szCs w:val="21"/>
          <w:highlight w:val="none"/>
          <w:lang w:val="en-US" w:eastAsia="zh-CN"/>
        </w:rPr>
      </w:pPr>
      <w:r>
        <w:rPr>
          <w:rFonts w:hint="eastAsia" w:ascii="宋体" w:hAnsi="宋体"/>
          <w:b/>
          <w:bCs/>
          <w:snapToGrid w:val="0"/>
          <w:kern w:val="0"/>
          <w:szCs w:val="21"/>
          <w:highlight w:val="none"/>
        </w:rPr>
        <w:t>2.4工期要求：</w:t>
      </w:r>
    </w:p>
    <w:p w14:paraId="322F0C14">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ascii="宋体" w:hAnsi="宋体"/>
          <w:snapToGrid w:val="0"/>
          <w:kern w:val="0"/>
          <w:szCs w:val="21"/>
          <w:highlight w:val="none"/>
          <w:u w:val="single"/>
        </w:rPr>
        <w:t>中选人在收到比选人开展阶段性或单个专业或区域设计工作通知后</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rPr>
        <w:t>个自然日内完成</w:t>
      </w:r>
      <w:r>
        <w:rPr>
          <w:rFonts w:hint="eastAsia" w:ascii="宋体" w:hAnsi="宋体"/>
          <w:snapToGrid w:val="0"/>
          <w:kern w:val="0"/>
          <w:szCs w:val="21"/>
          <w:highlight w:val="none"/>
          <w:u w:val="single"/>
          <w:lang w:val="en-US" w:eastAsia="zh-CN"/>
        </w:rPr>
        <w:t>对本次设计所涉及区域现状的勘测、调查、评估（准备阶段）；在现状勘测工作完成后3自然日内完成本次设计所涉及区域的方案设计（方案设计阶段）；在比选人明确方案设计后在3个自然日内完成施工图设计及预算编制（安装工程施工图设计阶段）；在比选人明确施工图设计和预算后，在10个自然日内完成施工。</w:t>
      </w:r>
      <w:r>
        <w:rPr>
          <w:rFonts w:hint="eastAsia" w:ascii="宋体" w:hAnsi="宋体"/>
          <w:snapToGrid w:val="0"/>
          <w:kern w:val="0"/>
          <w:szCs w:val="21"/>
          <w:highlight w:val="none"/>
          <w:u w:val="single"/>
        </w:rPr>
        <w:t>最终完成时限根据项目实际情况以及比选人要求确定。</w:t>
      </w:r>
    </w:p>
    <w:p w14:paraId="26D0C082">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3.</w:t>
      </w:r>
      <w:r>
        <w:rPr>
          <w:rFonts w:ascii="宋体" w:hAnsi="宋体"/>
          <w:snapToGrid w:val="0"/>
          <w:sz w:val="28"/>
          <w:szCs w:val="28"/>
          <w:highlight w:val="none"/>
        </w:rPr>
        <w:t>参选人资格要求</w:t>
      </w:r>
    </w:p>
    <w:p w14:paraId="00BC8D04">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2" w:firstLineChars="200"/>
        <w:jc w:val="left"/>
        <w:textAlignment w:val="auto"/>
        <w:outlineLvl w:val="2"/>
        <w:rPr>
          <w:rFonts w:hint="eastAsia" w:ascii="宋体" w:hAnsi="宋体" w:eastAsia="宋体"/>
          <w:b/>
          <w:bCs/>
          <w:snapToGrid w:val="0"/>
          <w:kern w:val="0"/>
          <w:szCs w:val="21"/>
          <w:highlight w:val="none"/>
          <w:lang w:eastAsia="zh-CN"/>
        </w:rPr>
      </w:pPr>
      <w:r>
        <w:rPr>
          <w:rFonts w:hint="eastAsia" w:ascii="宋体" w:hAnsi="宋体"/>
          <w:b/>
          <w:bCs/>
          <w:snapToGrid w:val="0"/>
          <w:kern w:val="0"/>
          <w:szCs w:val="21"/>
          <w:highlight w:val="none"/>
        </w:rPr>
        <w:t>3.1资质条件</w:t>
      </w:r>
      <w:r>
        <w:rPr>
          <w:rFonts w:hint="eastAsia" w:ascii="宋体" w:hAnsi="宋体"/>
          <w:b/>
          <w:bCs/>
          <w:snapToGrid w:val="0"/>
          <w:kern w:val="0"/>
          <w:szCs w:val="21"/>
          <w:highlight w:val="none"/>
          <w:lang w:eastAsia="zh-CN"/>
        </w:rPr>
        <w:t>：</w:t>
      </w:r>
    </w:p>
    <w:p w14:paraId="1C25CD99">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highlight w:val="none"/>
          <w:u w:val="single"/>
        </w:rPr>
        <w:t>（1）</w:t>
      </w:r>
      <w:r>
        <w:rPr>
          <w:rFonts w:hint="eastAsia"/>
          <w:highlight w:val="none"/>
          <w:u w:val="single"/>
          <w:lang w:eastAsia="zh-CN"/>
        </w:rPr>
        <w:t>参选人</w:t>
      </w:r>
      <w:r>
        <w:rPr>
          <w:rFonts w:hint="eastAsia"/>
          <w:highlight w:val="none"/>
          <w:u w:val="single"/>
        </w:rPr>
        <w:t>须具有独立承担民事责任的能力，具有有效的营业执照</w:t>
      </w:r>
      <w:r>
        <w:rPr>
          <w:rFonts w:hint="eastAsia" w:ascii="宋体" w:hAnsi="宋体"/>
          <w:snapToGrid w:val="0"/>
          <w:kern w:val="0"/>
          <w:szCs w:val="21"/>
          <w:highlight w:val="none"/>
          <w:u w:val="single"/>
        </w:rPr>
        <w:t>（须提供有效的营业执照，加盖单位公章，原件备查）</w:t>
      </w: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营业执照经营范围中应包含声光电类似经营范围</w:t>
      </w:r>
      <w:r>
        <w:rPr>
          <w:rFonts w:hint="eastAsia"/>
          <w:highlight w:val="none"/>
          <w:u w:val="single"/>
        </w:rPr>
        <w:t>；</w:t>
      </w:r>
    </w:p>
    <w:p w14:paraId="66DEAAFB">
      <w:pPr>
        <w:pageBreakBefore w:val="0"/>
        <w:widowControl w:val="0"/>
        <w:kinsoku/>
        <w:wordWrap/>
        <w:overflowPunct/>
        <w:topLinePunct w:val="0"/>
        <w:bidi w:val="0"/>
        <w:spacing w:line="400" w:lineRule="exact"/>
        <w:ind w:firstLine="420" w:firstLineChars="200"/>
        <w:textAlignment w:val="auto"/>
        <w:rPr>
          <w:highlight w:val="none"/>
        </w:rPr>
      </w:pPr>
      <w:r>
        <w:rPr>
          <w:rFonts w:hint="eastAsia"/>
          <w:highlight w:val="none"/>
          <w:u w:val="single"/>
        </w:rPr>
        <w:t>（2）</w:t>
      </w:r>
      <w:r>
        <w:rPr>
          <w:rFonts w:hint="eastAsia" w:ascii="Times New Roman" w:hAnsi="Times New Roman" w:cs="Times New Roman"/>
          <w:highlight w:val="none"/>
          <w:u w:val="single"/>
          <w:lang w:val="en-US" w:eastAsia="zh-CN"/>
        </w:rPr>
        <w:t>具备</w:t>
      </w:r>
      <w:r>
        <w:rPr>
          <w:rFonts w:hint="eastAsia"/>
          <w:highlight w:val="none"/>
          <w:u w:val="single"/>
        </w:rPr>
        <w:t>建设行政主管部门颁发的</w:t>
      </w:r>
      <w:r>
        <w:rPr>
          <w:rFonts w:hint="eastAsia" w:ascii="Times New Roman" w:hAnsi="Times New Roman" w:cs="Times New Roman"/>
          <w:highlight w:val="none"/>
          <w:u w:val="single"/>
          <w:lang w:val="en-US" w:eastAsia="zh-CN"/>
        </w:rPr>
        <w:t>电子与智能化工程专业承包贰级及以上</w:t>
      </w:r>
      <w:r>
        <w:rPr>
          <w:rFonts w:hint="eastAsia" w:cs="Times New Roman"/>
          <w:highlight w:val="none"/>
          <w:u w:val="single"/>
          <w:lang w:val="en-US" w:eastAsia="zh-CN"/>
        </w:rPr>
        <w:t>资质、且同时具备电子与智能化工程设计乙级及以上资质</w:t>
      </w:r>
      <w:r>
        <w:rPr>
          <w:rFonts w:hint="eastAsia"/>
          <w:highlight w:val="none"/>
          <w:u w:val="single"/>
          <w:lang w:val="en-US" w:eastAsia="zh-CN"/>
        </w:rPr>
        <w:t>（提供资质证书复印件，加盖参选人公章）。</w:t>
      </w:r>
    </w:p>
    <w:p w14:paraId="4282F39E">
      <w:pPr>
        <w:tabs>
          <w:tab w:val="left" w:pos="3315"/>
          <w:tab w:val="left" w:pos="3390"/>
          <w:tab w:val="left" w:pos="6120"/>
          <w:tab w:val="left" w:pos="8850"/>
        </w:tabs>
        <w:autoSpaceDE w:val="0"/>
        <w:autoSpaceDN w:val="0"/>
        <w:adjustRightInd w:val="0"/>
        <w:snapToGrid w:val="0"/>
        <w:spacing w:line="400" w:lineRule="exact"/>
        <w:ind w:firstLine="420" w:firstLineChars="0"/>
        <w:jc w:val="left"/>
        <w:rPr>
          <w:rFonts w:hint="eastAsia" w:ascii="宋体" w:hAnsi="宋体" w:cs="Times New Roman"/>
          <w:snapToGrid w:val="0"/>
          <w:kern w:val="0"/>
          <w:szCs w:val="21"/>
          <w:highlight w:val="none"/>
          <w:u w:val="single"/>
        </w:rPr>
      </w:pPr>
      <w:r>
        <w:rPr>
          <w:rFonts w:hint="eastAsia" w:ascii="宋体" w:hAnsi="宋体" w:cs="Times New Roman"/>
          <w:snapToGrid w:val="0"/>
          <w:kern w:val="0"/>
          <w:szCs w:val="21"/>
          <w:highlight w:val="none"/>
          <w:u w:val="single"/>
          <w:lang w:eastAsia="zh-CN"/>
        </w:rPr>
        <w:t>（</w:t>
      </w:r>
      <w:r>
        <w:rPr>
          <w:rFonts w:hint="eastAsia" w:ascii="宋体" w:hAnsi="宋体" w:cs="Times New Roman"/>
          <w:snapToGrid w:val="0"/>
          <w:kern w:val="0"/>
          <w:szCs w:val="21"/>
          <w:highlight w:val="none"/>
          <w:u w:val="single"/>
          <w:lang w:val="en-US" w:eastAsia="zh-CN"/>
        </w:rPr>
        <w:t>3</w:t>
      </w:r>
      <w:r>
        <w:rPr>
          <w:rFonts w:hint="eastAsia" w:ascii="宋体" w:hAnsi="宋体" w:cs="Times New Roman"/>
          <w:snapToGrid w:val="0"/>
          <w:kern w:val="0"/>
          <w:szCs w:val="21"/>
          <w:highlight w:val="none"/>
          <w:u w:val="single"/>
          <w:lang w:eastAsia="zh-CN"/>
        </w:rPr>
        <w:t>）</w:t>
      </w:r>
      <w:r>
        <w:rPr>
          <w:rFonts w:hint="eastAsia" w:ascii="宋体" w:hAnsi="宋体" w:cs="Times New Roman"/>
          <w:snapToGrid w:val="0"/>
          <w:kern w:val="0"/>
          <w:szCs w:val="21"/>
          <w:highlight w:val="none"/>
          <w:u w:val="single"/>
          <w:lang w:val="en-US" w:eastAsia="zh-CN"/>
        </w:rPr>
        <w:t>接受联合体参选，联合体最多由2家单位组成，联合体各方应具备各自所承担工作内容的相应能力和资质条件</w:t>
      </w:r>
      <w:r>
        <w:rPr>
          <w:rFonts w:hint="eastAsia" w:ascii="宋体" w:hAnsi="宋体" w:cs="Times New Roman"/>
          <w:snapToGrid w:val="0"/>
          <w:kern w:val="0"/>
          <w:szCs w:val="21"/>
          <w:highlight w:val="none"/>
          <w:u w:val="single"/>
        </w:rPr>
        <w:t>；</w:t>
      </w:r>
    </w:p>
    <w:p w14:paraId="1626C811">
      <w:pPr>
        <w:tabs>
          <w:tab w:val="left" w:pos="3315"/>
          <w:tab w:val="left" w:pos="3390"/>
          <w:tab w:val="left" w:pos="6120"/>
          <w:tab w:val="left" w:pos="8850"/>
        </w:tabs>
        <w:autoSpaceDE w:val="0"/>
        <w:autoSpaceDN w:val="0"/>
        <w:adjustRightInd w:val="0"/>
        <w:snapToGrid w:val="0"/>
        <w:spacing w:line="400" w:lineRule="exact"/>
        <w:ind w:firstLine="420" w:firstLineChars="0"/>
        <w:jc w:val="left"/>
        <w:rPr>
          <w:rFonts w:hint="eastAsia" w:ascii="宋体" w:hAnsi="宋体" w:eastAsia="宋体" w:cs="Times New Roman"/>
          <w:snapToGrid w:val="0"/>
          <w:kern w:val="0"/>
          <w:szCs w:val="21"/>
          <w:highlight w:val="none"/>
          <w:u w:val="single"/>
        </w:rPr>
      </w:pPr>
      <w:r>
        <w:rPr>
          <w:rFonts w:hint="eastAsia" w:ascii="宋体" w:hAnsi="宋体" w:cs="Times New Roman"/>
          <w:snapToGrid w:val="0"/>
          <w:kern w:val="0"/>
          <w:szCs w:val="21"/>
          <w:highlight w:val="none"/>
          <w:u w:val="single"/>
          <w:lang w:val="en-US" w:eastAsia="zh-CN"/>
        </w:rPr>
        <w:t>注：①</w:t>
      </w:r>
      <w:r>
        <w:rPr>
          <w:rFonts w:hint="eastAsia" w:ascii="宋体" w:hAnsi="宋体" w:eastAsia="宋体" w:cs="Times New Roman"/>
          <w:snapToGrid w:val="0"/>
          <w:kern w:val="0"/>
          <w:szCs w:val="21"/>
          <w:highlight w:val="none"/>
          <w:u w:val="single"/>
        </w:rPr>
        <w:t>联合体各方应按</w:t>
      </w:r>
      <w:r>
        <w:rPr>
          <w:rFonts w:hint="eastAsia" w:ascii="宋体" w:hAnsi="宋体" w:cs="Times New Roman"/>
          <w:snapToGrid w:val="0"/>
          <w:kern w:val="0"/>
          <w:szCs w:val="21"/>
          <w:highlight w:val="none"/>
          <w:u w:val="single"/>
          <w:lang w:eastAsia="zh-CN"/>
        </w:rPr>
        <w:t>比选文件</w:t>
      </w:r>
      <w:r>
        <w:rPr>
          <w:rFonts w:hint="eastAsia" w:ascii="宋体" w:hAnsi="宋体" w:eastAsia="宋体" w:cs="Times New Roman"/>
          <w:snapToGrid w:val="0"/>
          <w:kern w:val="0"/>
          <w:szCs w:val="21"/>
          <w:highlight w:val="none"/>
          <w:u w:val="single"/>
        </w:rPr>
        <w:t>提供的格式签订联合体协议书，明确联合体牵头人和各方权利义务，明确联合体统一对发包人承担连带责任；</w:t>
      </w:r>
    </w:p>
    <w:p w14:paraId="4EEB9254">
      <w:pPr>
        <w:tabs>
          <w:tab w:val="left" w:pos="3315"/>
          <w:tab w:val="left" w:pos="3390"/>
          <w:tab w:val="left" w:pos="6120"/>
          <w:tab w:val="left" w:pos="8850"/>
        </w:tabs>
        <w:autoSpaceDE w:val="0"/>
        <w:autoSpaceDN w:val="0"/>
        <w:adjustRightInd w:val="0"/>
        <w:snapToGrid w:val="0"/>
        <w:spacing w:line="400" w:lineRule="exact"/>
        <w:ind w:firstLine="420" w:firstLineChars="0"/>
        <w:jc w:val="left"/>
        <w:rPr>
          <w:rFonts w:hint="eastAsia" w:ascii="宋体" w:hAnsi="宋体" w:eastAsia="宋体" w:cs="Times New Roman"/>
          <w:snapToGrid w:val="0"/>
          <w:kern w:val="0"/>
          <w:szCs w:val="21"/>
          <w:highlight w:val="none"/>
          <w:u w:val="single"/>
        </w:rPr>
      </w:pPr>
      <w:r>
        <w:rPr>
          <w:rFonts w:hint="eastAsia" w:ascii="宋体" w:hAnsi="宋体" w:cs="Times New Roman"/>
          <w:snapToGrid w:val="0"/>
          <w:kern w:val="0"/>
          <w:szCs w:val="21"/>
          <w:highlight w:val="none"/>
          <w:u w:val="single"/>
          <w:lang w:val="en-US" w:eastAsia="zh-CN"/>
        </w:rPr>
        <w:t>②</w:t>
      </w:r>
      <w:r>
        <w:rPr>
          <w:rFonts w:hint="eastAsia" w:ascii="宋体" w:hAnsi="宋体" w:eastAsia="宋体" w:cs="Times New Roman"/>
          <w:snapToGrid w:val="0"/>
          <w:kern w:val="0"/>
          <w:szCs w:val="21"/>
          <w:highlight w:val="none"/>
          <w:u w:val="single"/>
        </w:rPr>
        <w:t>联合体协议约定同一专业分工由两个及以上单位共同承担的，按照资质等级较低的单位确定资质等级；</w:t>
      </w:r>
    </w:p>
    <w:p w14:paraId="15355537">
      <w:pPr>
        <w:tabs>
          <w:tab w:val="left" w:pos="3315"/>
          <w:tab w:val="left" w:pos="3390"/>
          <w:tab w:val="left" w:pos="6120"/>
          <w:tab w:val="left" w:pos="8850"/>
        </w:tabs>
        <w:autoSpaceDE w:val="0"/>
        <w:autoSpaceDN w:val="0"/>
        <w:adjustRightInd w:val="0"/>
        <w:snapToGrid w:val="0"/>
        <w:spacing w:line="400" w:lineRule="exact"/>
        <w:ind w:firstLine="420" w:firstLineChars="0"/>
        <w:jc w:val="left"/>
        <w:rPr>
          <w:rFonts w:hint="eastAsia" w:ascii="宋体" w:hAnsi="宋体" w:eastAsia="宋体" w:cs="Times New Roman"/>
          <w:snapToGrid w:val="0"/>
          <w:kern w:val="0"/>
          <w:szCs w:val="21"/>
          <w:highlight w:val="none"/>
          <w:u w:val="single"/>
        </w:rPr>
      </w:pPr>
      <w:r>
        <w:rPr>
          <w:rFonts w:hint="eastAsia" w:ascii="宋体" w:hAnsi="宋体" w:cs="Times New Roman"/>
          <w:snapToGrid w:val="0"/>
          <w:kern w:val="0"/>
          <w:szCs w:val="21"/>
          <w:highlight w:val="none"/>
          <w:u w:val="single"/>
          <w:lang w:val="en-US" w:eastAsia="zh-CN"/>
        </w:rPr>
        <w:t>③</w:t>
      </w:r>
      <w:r>
        <w:rPr>
          <w:rFonts w:hint="eastAsia" w:ascii="宋体" w:hAnsi="宋体" w:eastAsia="宋体" w:cs="Times New Roman"/>
          <w:snapToGrid w:val="0"/>
          <w:kern w:val="0"/>
          <w:szCs w:val="21"/>
          <w:highlight w:val="none"/>
          <w:u w:val="single"/>
        </w:rPr>
        <w:t>联合体各方不得再以自己名义单独或参加其他联合体在本</w:t>
      </w:r>
      <w:r>
        <w:rPr>
          <w:rFonts w:hint="eastAsia" w:ascii="宋体" w:hAnsi="宋体" w:cs="Times New Roman"/>
          <w:snapToGrid w:val="0"/>
          <w:kern w:val="0"/>
          <w:szCs w:val="21"/>
          <w:highlight w:val="none"/>
          <w:u w:val="single"/>
          <w:lang w:eastAsia="zh-CN"/>
        </w:rPr>
        <w:t>比选项目</w:t>
      </w:r>
      <w:r>
        <w:rPr>
          <w:rFonts w:hint="eastAsia" w:ascii="宋体" w:hAnsi="宋体" w:eastAsia="宋体" w:cs="Times New Roman"/>
          <w:snapToGrid w:val="0"/>
          <w:kern w:val="0"/>
          <w:szCs w:val="21"/>
          <w:highlight w:val="none"/>
          <w:u w:val="single"/>
        </w:rPr>
        <w:t>中投标。</w:t>
      </w:r>
    </w:p>
    <w:p w14:paraId="172C60CA">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firstLineChars="0"/>
        <w:jc w:val="left"/>
        <w:textAlignment w:val="auto"/>
        <w:rPr>
          <w:rFonts w:hint="eastAsia"/>
          <w:lang w:val="en-US" w:eastAsia="zh-CN"/>
        </w:rPr>
      </w:pPr>
      <w:r>
        <w:rPr>
          <w:rFonts w:hint="eastAsia" w:ascii="宋体" w:hAnsi="宋体" w:cs="Times New Roman"/>
          <w:snapToGrid w:val="0"/>
          <w:kern w:val="0"/>
          <w:szCs w:val="21"/>
          <w:highlight w:val="none"/>
          <w:u w:val="single"/>
          <w:lang w:val="en-US" w:eastAsia="zh-CN"/>
        </w:rPr>
        <w:t>④</w:t>
      </w:r>
      <w:r>
        <w:rPr>
          <w:rFonts w:hint="eastAsia" w:ascii="宋体" w:hAnsi="宋体" w:eastAsia="宋体" w:cs="Times New Roman"/>
          <w:snapToGrid w:val="0"/>
          <w:kern w:val="0"/>
          <w:szCs w:val="21"/>
          <w:highlight w:val="none"/>
          <w:u w:val="single"/>
        </w:rPr>
        <w:t>联合体的组成不得超过</w:t>
      </w:r>
      <w:r>
        <w:rPr>
          <w:rFonts w:hint="eastAsia" w:ascii="宋体" w:hAnsi="宋体" w:cs="Times New Roman"/>
          <w:snapToGrid w:val="0"/>
          <w:kern w:val="0"/>
          <w:szCs w:val="21"/>
          <w:highlight w:val="none"/>
          <w:u w:val="single"/>
          <w:lang w:val="en-US" w:eastAsia="zh-CN"/>
        </w:rPr>
        <w:t>两</w:t>
      </w:r>
      <w:r>
        <w:rPr>
          <w:rFonts w:hint="eastAsia" w:ascii="宋体" w:hAnsi="宋体" w:eastAsia="宋体" w:cs="Times New Roman"/>
          <w:snapToGrid w:val="0"/>
          <w:kern w:val="0"/>
          <w:szCs w:val="21"/>
          <w:highlight w:val="none"/>
          <w:u w:val="single"/>
        </w:rPr>
        <w:t>个单位。</w:t>
      </w:r>
    </w:p>
    <w:p w14:paraId="2840743D">
      <w:pPr>
        <w:pageBreakBefore w:val="0"/>
        <w:widowControl w:val="0"/>
        <w:kinsoku/>
        <w:wordWrap/>
        <w:overflowPunct/>
        <w:topLinePunct w:val="0"/>
        <w:bidi w:val="0"/>
        <w:spacing w:line="400" w:lineRule="exact"/>
        <w:ind w:firstLine="422" w:firstLineChars="200"/>
        <w:textAlignment w:val="auto"/>
        <w:outlineLvl w:val="2"/>
        <w:rPr>
          <w:b/>
          <w:bCs/>
          <w:highlight w:val="none"/>
        </w:rPr>
      </w:pPr>
      <w:r>
        <w:rPr>
          <w:rFonts w:hint="eastAsia"/>
          <w:b/>
          <w:bCs/>
          <w:highlight w:val="none"/>
        </w:rPr>
        <w:t>3.2</w:t>
      </w:r>
      <w:r>
        <w:rPr>
          <w:b/>
          <w:bCs/>
          <w:highlight w:val="none"/>
        </w:rPr>
        <w:t>.</w:t>
      </w:r>
      <w:r>
        <w:rPr>
          <w:rFonts w:hint="eastAsia"/>
          <w:b/>
          <w:bCs/>
          <w:highlight w:val="none"/>
          <w:lang w:eastAsia="zh-CN"/>
        </w:rPr>
        <w:t>参选人</w:t>
      </w:r>
      <w:r>
        <w:rPr>
          <w:rFonts w:hint="eastAsia"/>
          <w:b/>
          <w:bCs/>
          <w:highlight w:val="none"/>
        </w:rPr>
        <w:t>自行承诺（格式自拟）不得存在下列情形之一：</w:t>
      </w:r>
    </w:p>
    <w:p w14:paraId="501BFF2E">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1）被人民法院在“信用中国”网站（www.creditchina.gov.cn）列入失信被执行人名单且在被执行期内；</w:t>
      </w:r>
    </w:p>
    <w:p w14:paraId="24B03173">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2）被列入《重庆市工程建设领域招标投标信用管理暂行办法》规定的重点关注名单且记分达到12分且在记分有效期内；</w:t>
      </w:r>
    </w:p>
    <w:p w14:paraId="017A2CED">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3）被列入《重庆市工程建设领域招标投标信用管理暂行办法》规定的重庆市工程建设领域招标投标失信惩戒对象名单（以下称黑名单）且在有效期内；</w:t>
      </w:r>
    </w:p>
    <w:p w14:paraId="634B52C1">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4）被国家、重庆市（含市或任意区县）有关行政部门处以暂停投标资格行政处罚，且在处罚期限内；</w:t>
      </w:r>
    </w:p>
    <w:p w14:paraId="16A0F8CE">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5）被重庆市住房和城乡建设主管部门暂停在渝承揽新业务且在暂停期内。</w:t>
      </w:r>
    </w:p>
    <w:p w14:paraId="53355608">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lang w:val="zh-CN"/>
        </w:rPr>
      </w:pPr>
      <w:r>
        <w:rPr>
          <w:rFonts w:hint="eastAsia" w:ascii="宋体" w:hAnsi="宋体"/>
          <w:snapToGrid w:val="0"/>
          <w:kern w:val="0"/>
          <w:szCs w:val="21"/>
          <w:highlight w:val="none"/>
          <w:u w:val="single"/>
        </w:rPr>
        <w:t>（6）</w:t>
      </w:r>
      <w:r>
        <w:rPr>
          <w:rFonts w:hint="eastAsia" w:ascii="宋体" w:hAnsi="宋体"/>
          <w:snapToGrid w:val="0"/>
          <w:kern w:val="0"/>
          <w:szCs w:val="21"/>
          <w:highlight w:val="none"/>
          <w:u w:val="single"/>
          <w:lang w:val="zh-CN"/>
        </w:rPr>
        <w:t>具有良好的商业信誉和健全的财务会计制度；</w:t>
      </w:r>
    </w:p>
    <w:p w14:paraId="106D9C87">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ascii="宋体" w:hAnsi="宋体"/>
          <w:b/>
          <w:bCs/>
          <w:snapToGrid w:val="0"/>
          <w:kern w:val="0"/>
          <w:szCs w:val="21"/>
          <w:highlight w:val="none"/>
        </w:rPr>
      </w:pPr>
      <w:r>
        <w:rPr>
          <w:rFonts w:hint="eastAsia" w:ascii="宋体" w:hAnsi="宋体"/>
          <w:b/>
          <w:bCs/>
          <w:snapToGrid w:val="0"/>
          <w:kern w:val="0"/>
          <w:szCs w:val="21"/>
          <w:highlight w:val="none"/>
        </w:rPr>
        <w:t>3.</w:t>
      </w:r>
      <w:r>
        <w:rPr>
          <w:rFonts w:hint="eastAsia" w:ascii="宋体" w:hAnsi="宋体"/>
          <w:b/>
          <w:bCs/>
          <w:snapToGrid w:val="0"/>
          <w:kern w:val="0"/>
          <w:szCs w:val="21"/>
          <w:highlight w:val="none"/>
          <w:lang w:val="en-US" w:eastAsia="zh-CN"/>
        </w:rPr>
        <w:t>3</w:t>
      </w:r>
      <w:r>
        <w:rPr>
          <w:rFonts w:hint="eastAsia" w:ascii="宋体" w:hAnsi="宋体"/>
          <w:b/>
          <w:bCs/>
          <w:snapToGrid w:val="0"/>
          <w:kern w:val="0"/>
          <w:szCs w:val="21"/>
          <w:highlight w:val="none"/>
        </w:rPr>
        <w:t>业绩要求</w:t>
      </w:r>
    </w:p>
    <w:p w14:paraId="587CFB8F">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ascii="宋体" w:hAnsi="宋体"/>
          <w:snapToGrid w:val="0"/>
          <w:kern w:val="0"/>
          <w:szCs w:val="21"/>
          <w:highlight w:val="none"/>
          <w:u w:val="single"/>
        </w:rPr>
        <w:t>参选人在</w:t>
      </w:r>
      <w:r>
        <w:rPr>
          <w:rFonts w:hint="eastAsia"/>
          <w:highlight w:val="none"/>
          <w:u w:val="single"/>
        </w:rPr>
        <w:t>近5年（20</w:t>
      </w:r>
      <w:r>
        <w:rPr>
          <w:rFonts w:hint="eastAsia"/>
          <w:highlight w:val="none"/>
          <w:u w:val="single"/>
          <w:lang w:val="en-US" w:eastAsia="zh-CN"/>
        </w:rPr>
        <w:t>21</w:t>
      </w:r>
      <w:r>
        <w:rPr>
          <w:rFonts w:hint="eastAsia"/>
          <w:highlight w:val="none"/>
          <w:u w:val="single"/>
        </w:rPr>
        <w:t>年1月1日起至今</w:t>
      </w:r>
      <w:r>
        <w:rPr>
          <w:rFonts w:hint="eastAsia"/>
          <w:highlight w:val="none"/>
          <w:u w:val="single"/>
          <w:lang w:eastAsia="zh-CN"/>
        </w:rPr>
        <w:t>，</w:t>
      </w:r>
      <w:r>
        <w:rPr>
          <w:rFonts w:hint="eastAsia"/>
          <w:highlight w:val="none"/>
          <w:u w:val="single"/>
          <w:lang w:val="en-US" w:eastAsia="zh-CN"/>
        </w:rPr>
        <w:t>以合同签订时间为准</w:t>
      </w:r>
      <w:r>
        <w:rPr>
          <w:rFonts w:hint="eastAsia"/>
          <w:highlight w:val="none"/>
          <w:u w:val="single"/>
        </w:rPr>
        <w:t>）至少1项单项合同额≥_</w:t>
      </w:r>
      <w:r>
        <w:rPr>
          <w:rFonts w:hint="eastAsia"/>
          <w:highlight w:val="none"/>
          <w:u w:val="single"/>
          <w:lang w:val="en-US" w:eastAsia="zh-CN"/>
        </w:rPr>
        <w:t>300</w:t>
      </w:r>
      <w:r>
        <w:rPr>
          <w:rFonts w:hint="eastAsia"/>
          <w:highlight w:val="none"/>
          <w:u w:val="single"/>
        </w:rPr>
        <w:t>_万元声光电</w:t>
      </w:r>
      <w:r>
        <w:rPr>
          <w:rFonts w:hint="eastAsia"/>
          <w:highlight w:val="none"/>
          <w:u w:val="single"/>
          <w:lang w:val="en-US" w:eastAsia="zh-CN"/>
        </w:rPr>
        <w:t>集成相关项目</w:t>
      </w:r>
      <w:r>
        <w:rPr>
          <w:rFonts w:hint="eastAsia"/>
          <w:highlight w:val="none"/>
          <w:u w:val="single"/>
        </w:rPr>
        <w:t>业绩（</w:t>
      </w:r>
      <w:r>
        <w:rPr>
          <w:rFonts w:hint="eastAsia"/>
          <w:highlight w:val="none"/>
          <w:u w:val="single"/>
          <w:lang w:val="en-US" w:eastAsia="zh-CN"/>
        </w:rPr>
        <w:t>提供</w:t>
      </w:r>
      <w:r>
        <w:rPr>
          <w:rFonts w:hint="eastAsia"/>
          <w:highlight w:val="none"/>
          <w:u w:val="single"/>
        </w:rPr>
        <w:t>合同</w:t>
      </w:r>
      <w:r>
        <w:rPr>
          <w:rFonts w:hint="eastAsia"/>
          <w:highlight w:val="none"/>
          <w:u w:val="single"/>
          <w:lang w:val="en-US" w:eastAsia="zh-CN"/>
        </w:rPr>
        <w:t>复印件</w:t>
      </w:r>
      <w:r>
        <w:rPr>
          <w:rFonts w:hint="eastAsia"/>
          <w:highlight w:val="none"/>
          <w:u w:val="single"/>
        </w:rPr>
        <w:t>）</w:t>
      </w:r>
      <w:r>
        <w:rPr>
          <w:rFonts w:hint="eastAsia" w:ascii="宋体" w:hAnsi="宋体"/>
          <w:snapToGrid w:val="0"/>
          <w:kern w:val="0"/>
          <w:szCs w:val="21"/>
          <w:highlight w:val="none"/>
          <w:u w:val="single"/>
        </w:rPr>
        <w:t>。（提供合同复印件，复印件要求加盖公章，合同原件备查）。</w:t>
      </w:r>
    </w:p>
    <w:p w14:paraId="18B923CE">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ascii="宋体" w:hAnsi="宋体"/>
          <w:snapToGrid w:val="0"/>
          <w:sz w:val="28"/>
          <w:szCs w:val="28"/>
          <w:highlight w:val="none"/>
        </w:rPr>
        <w:t>4.比选文件的获取</w:t>
      </w:r>
    </w:p>
    <w:p w14:paraId="29B4A07D">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snapToGrid w:val="0"/>
          <w:kern w:val="0"/>
          <w:szCs w:val="21"/>
          <w:highlight w:val="none"/>
          <w:u w:val="single"/>
          <w:lang w:val="en-US" w:eastAsia="zh-CN"/>
        </w:rPr>
      </w:pPr>
      <w:r>
        <w:rPr>
          <w:rFonts w:hint="eastAsia" w:ascii="宋体" w:hAnsi="宋体" w:eastAsia="宋体" w:cs="Times New Roman"/>
          <w:snapToGrid w:val="0"/>
          <w:kern w:val="0"/>
          <w:szCs w:val="21"/>
          <w:highlight w:val="none"/>
          <w:u w:val="single"/>
          <w:lang w:val="en-US" w:eastAsia="zh-CN"/>
        </w:rPr>
        <w:t>凡确定参加比选的单位在2026年</w:t>
      </w:r>
      <w:r>
        <w:rPr>
          <w:rFonts w:hint="eastAsia" w:ascii="宋体" w:hAnsi="宋体" w:cs="Times New Roman"/>
          <w:snapToGrid w:val="0"/>
          <w:kern w:val="0"/>
          <w:szCs w:val="21"/>
          <w:highlight w:val="none"/>
          <w:u w:val="single"/>
          <w:lang w:val="en-US" w:eastAsia="zh-CN"/>
        </w:rPr>
        <w:t>6</w:t>
      </w:r>
      <w:r>
        <w:rPr>
          <w:rFonts w:hint="eastAsia" w:ascii="宋体" w:hAnsi="宋体" w:eastAsia="宋体" w:cs="Times New Roman"/>
          <w:snapToGrid w:val="0"/>
          <w:kern w:val="0"/>
          <w:szCs w:val="21"/>
          <w:highlight w:val="none"/>
          <w:u w:val="single"/>
          <w:lang w:val="en-US" w:eastAsia="zh-CN"/>
        </w:rPr>
        <w:t>月</w:t>
      </w:r>
      <w:r>
        <w:rPr>
          <w:rFonts w:hint="eastAsia" w:ascii="宋体" w:hAnsi="宋体" w:cs="Times New Roman"/>
          <w:snapToGrid w:val="0"/>
          <w:kern w:val="0"/>
          <w:szCs w:val="21"/>
          <w:highlight w:val="none"/>
          <w:u w:val="single"/>
          <w:lang w:val="en-US" w:eastAsia="zh-CN"/>
        </w:rPr>
        <w:t>22</w:t>
      </w:r>
      <w:r>
        <w:rPr>
          <w:rFonts w:hint="eastAsia" w:ascii="宋体" w:hAnsi="宋体" w:eastAsia="宋体" w:cs="Times New Roman"/>
          <w:snapToGrid w:val="0"/>
          <w:kern w:val="0"/>
          <w:szCs w:val="21"/>
          <w:highlight w:val="none"/>
          <w:u w:val="single"/>
          <w:lang w:val="en-US" w:eastAsia="zh-CN"/>
        </w:rPr>
        <w:t>日12：00时前（北京时间，下同）在阿依河景区官网（网址：http://www.ayhjq.com）上下载本项目比选文件及相关资料。</w:t>
      </w:r>
    </w:p>
    <w:p w14:paraId="2F0C7AAE">
      <w:pPr>
        <w:pStyle w:val="24"/>
        <w:pageBreakBefore w:val="0"/>
        <w:widowControl w:val="0"/>
        <w:kinsoku/>
        <w:wordWrap/>
        <w:overflowPunct/>
        <w:topLinePunct w:val="0"/>
        <w:bidi w:val="0"/>
        <w:spacing w:line="400" w:lineRule="exact"/>
        <w:textAlignment w:val="auto"/>
        <w:outlineLvl w:val="1"/>
        <w:rPr>
          <w:rFonts w:hint="default" w:ascii="宋体" w:hAnsi="宋体" w:eastAsia="宋体" w:cs="宋体"/>
          <w:b/>
          <w:snapToGrid w:val="0"/>
          <w:sz w:val="28"/>
          <w:szCs w:val="28"/>
          <w:highlight w:val="none"/>
          <w:lang w:val="en-US" w:eastAsia="zh-CN"/>
        </w:rPr>
      </w:pPr>
      <w:r>
        <w:rPr>
          <w:rFonts w:hint="eastAsia" w:ascii="宋体" w:hAnsi="宋体" w:eastAsia="宋体" w:cs="宋体"/>
          <w:b/>
          <w:snapToGrid w:val="0"/>
          <w:sz w:val="28"/>
          <w:szCs w:val="28"/>
          <w:highlight w:val="none"/>
          <w:lang w:val="en-US" w:eastAsia="zh-CN"/>
        </w:rPr>
        <w:t>5</w:t>
      </w:r>
      <w:r>
        <w:rPr>
          <w:rFonts w:hint="eastAsia" w:ascii="宋体" w:hAnsi="宋体" w:eastAsia="宋体" w:cs="宋体"/>
          <w:b/>
          <w:snapToGrid w:val="0"/>
          <w:sz w:val="28"/>
          <w:szCs w:val="28"/>
          <w:highlight w:val="none"/>
        </w:rPr>
        <w:t>.参选文件递交</w:t>
      </w:r>
      <w:r>
        <w:rPr>
          <w:rFonts w:hint="eastAsia" w:ascii="宋体" w:hAnsi="宋体" w:eastAsia="宋体" w:cs="宋体"/>
          <w:b/>
          <w:snapToGrid w:val="0"/>
          <w:sz w:val="28"/>
          <w:szCs w:val="28"/>
          <w:highlight w:val="none"/>
          <w:lang w:val="en-US" w:eastAsia="zh-CN"/>
        </w:rPr>
        <w:t>及开标时间</w:t>
      </w:r>
    </w:p>
    <w:p w14:paraId="7A05AA31">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snapToGrid w:val="0"/>
          <w:kern w:val="0"/>
          <w:szCs w:val="21"/>
          <w:highlight w:val="none"/>
        </w:rPr>
      </w:pPr>
      <w:r>
        <w:rPr>
          <w:rFonts w:ascii="宋体" w:hAnsi="宋体"/>
          <w:snapToGrid w:val="0"/>
          <w:kern w:val="0"/>
          <w:szCs w:val="21"/>
          <w:highlight w:val="none"/>
        </w:rPr>
        <w:t>5.1</w:t>
      </w:r>
      <w:r>
        <w:rPr>
          <w:rFonts w:hint="eastAsia" w:ascii="宋体" w:hAnsi="宋体"/>
          <w:snapToGrid w:val="0"/>
          <w:kern w:val="0"/>
          <w:szCs w:val="21"/>
          <w:highlight w:val="none"/>
        </w:rPr>
        <w:t xml:space="preserve"> 参选文件递交的截止时间（参选截止时间，下同）为</w:t>
      </w:r>
      <w:r>
        <w:rPr>
          <w:rFonts w:hint="eastAsia" w:ascii="宋体" w:hAnsi="宋体"/>
          <w:snapToGrid w:val="0"/>
          <w:kern w:val="0"/>
          <w:szCs w:val="21"/>
          <w:highlight w:val="none"/>
          <w:lang w:val="en-US" w:eastAsia="zh-CN"/>
        </w:rPr>
        <w:t xml:space="preserve">  </w:t>
      </w:r>
      <w:r>
        <w:rPr>
          <w:rFonts w:hint="default" w:ascii="宋体" w:hAnsi="宋体"/>
          <w:snapToGrid w:val="0"/>
          <w:kern w:val="0"/>
          <w:szCs w:val="21"/>
          <w:highlight w:val="none"/>
          <w:lang w:eastAsia="zh-CN"/>
        </w:rPr>
        <w:t>2026</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月</w:t>
      </w:r>
      <w:r>
        <w:rPr>
          <w:rFonts w:hint="eastAsia" w:ascii="宋体" w:hAnsi="宋体"/>
          <w:snapToGrid w:val="0"/>
          <w:kern w:val="0"/>
          <w:szCs w:val="21"/>
          <w:highlight w:val="none"/>
          <w:lang w:val="en-US" w:eastAsia="zh-CN"/>
        </w:rPr>
        <w:t>22</w:t>
      </w:r>
      <w:r>
        <w:rPr>
          <w:rFonts w:hint="eastAsia" w:ascii="宋体" w:hAnsi="宋体"/>
          <w:snapToGrid w:val="0"/>
          <w:kern w:val="0"/>
          <w:szCs w:val="21"/>
          <w:highlight w:val="none"/>
        </w:rPr>
        <w:t>日</w:t>
      </w:r>
      <w:r>
        <w:rPr>
          <w:rFonts w:hint="eastAsia" w:ascii="宋体" w:hAnsi="宋体"/>
          <w:snapToGrid w:val="0"/>
          <w:kern w:val="0"/>
          <w:szCs w:val="21"/>
          <w:highlight w:val="none"/>
          <w:lang w:val="en-US" w:eastAsia="zh-CN"/>
        </w:rPr>
        <w:t>12</w:t>
      </w:r>
      <w:r>
        <w:rPr>
          <w:rFonts w:hint="eastAsia" w:ascii="宋体" w:hAnsi="宋体"/>
          <w:snapToGrid w:val="0"/>
          <w:kern w:val="0"/>
          <w:szCs w:val="21"/>
          <w:highlight w:val="none"/>
        </w:rPr>
        <w:t>时</w:t>
      </w:r>
      <w:r>
        <w:rPr>
          <w:rFonts w:hint="default" w:ascii="宋体" w:hAnsi="宋体"/>
          <w:snapToGrid w:val="0"/>
          <w:kern w:val="0"/>
          <w:szCs w:val="21"/>
          <w:highlight w:val="none"/>
          <w:lang w:eastAsia="zh-CN"/>
        </w:rPr>
        <w:t>0</w:t>
      </w:r>
      <w:r>
        <w:rPr>
          <w:rFonts w:hint="eastAsia" w:ascii="宋体" w:hAnsi="宋体"/>
          <w:snapToGrid w:val="0"/>
          <w:kern w:val="0"/>
          <w:szCs w:val="21"/>
          <w:highlight w:val="none"/>
        </w:rPr>
        <w:t>分，</w:t>
      </w:r>
      <w:r>
        <w:rPr>
          <w:rFonts w:ascii="宋体" w:hAnsi="宋体"/>
          <w:snapToGrid w:val="0"/>
          <w:kern w:val="0"/>
          <w:szCs w:val="21"/>
          <w:highlight w:val="none"/>
        </w:rPr>
        <w:t xml:space="preserve"> </w:t>
      </w:r>
      <w:r>
        <w:rPr>
          <w:rFonts w:hint="eastAsia" w:ascii="宋体" w:hAnsi="宋体"/>
          <w:snapToGrid w:val="0"/>
          <w:kern w:val="0"/>
          <w:szCs w:val="21"/>
          <w:highlight w:val="none"/>
        </w:rPr>
        <w:t>地点为</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重庆市彭水县绍庆街道阿依河社区6组168号阿依河景区接待中心服务保障部</w:t>
      </w:r>
      <w:r>
        <w:rPr>
          <w:rFonts w:hint="eastAsia" w:ascii="宋体" w:hAnsi="宋体" w:eastAsia="宋体" w:cs="Times New Roman"/>
          <w:snapToGrid w:val="0"/>
          <w:kern w:val="0"/>
          <w:szCs w:val="21"/>
          <w:highlight w:val="none"/>
        </w:rPr>
        <w:t>。</w:t>
      </w:r>
    </w:p>
    <w:p w14:paraId="727B304E">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snapToGrid w:val="0"/>
          <w:kern w:val="0"/>
          <w:szCs w:val="21"/>
          <w:highlight w:val="none"/>
        </w:rPr>
      </w:pPr>
      <w:r>
        <w:rPr>
          <w:rFonts w:ascii="宋体" w:hAnsi="宋体"/>
          <w:snapToGrid w:val="0"/>
          <w:kern w:val="0"/>
          <w:szCs w:val="21"/>
          <w:highlight w:val="none"/>
        </w:rPr>
        <w:t xml:space="preserve">5.2 </w:t>
      </w:r>
      <w:r>
        <w:rPr>
          <w:rFonts w:hint="eastAsia" w:ascii="宋体" w:hAnsi="宋体"/>
          <w:snapToGrid w:val="0"/>
          <w:kern w:val="0"/>
          <w:szCs w:val="21"/>
          <w:highlight w:val="none"/>
        </w:rPr>
        <w:t>逾期送达的或者未送达指定地点的参选文件，</w:t>
      </w:r>
      <w:r>
        <w:rPr>
          <w:rFonts w:hint="eastAsia" w:ascii="宋体" w:hAnsi="宋体"/>
          <w:snapToGrid w:val="0"/>
          <w:kern w:val="0"/>
          <w:szCs w:val="21"/>
          <w:highlight w:val="none"/>
          <w:lang w:val="en-US" w:eastAsia="zh-CN"/>
        </w:rPr>
        <w:t>比选</w:t>
      </w:r>
      <w:r>
        <w:rPr>
          <w:rFonts w:hint="eastAsia" w:ascii="宋体" w:hAnsi="宋体"/>
          <w:snapToGrid w:val="0"/>
          <w:kern w:val="0"/>
          <w:szCs w:val="21"/>
          <w:highlight w:val="none"/>
        </w:rPr>
        <w:t>人不予受理。</w:t>
      </w:r>
    </w:p>
    <w:p w14:paraId="2111688D">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default" w:ascii="宋体" w:hAnsi="宋体"/>
          <w:snapToGrid w:val="0"/>
          <w:kern w:val="0"/>
          <w:szCs w:val="21"/>
          <w:highlight w:val="none"/>
          <w:lang w:val="en-US" w:eastAsia="zh-CN"/>
        </w:rPr>
      </w:pPr>
      <w:r>
        <w:rPr>
          <w:rFonts w:hint="eastAsia" w:ascii="宋体" w:hAnsi="宋体"/>
          <w:snapToGrid w:val="0"/>
          <w:kern w:val="0"/>
          <w:szCs w:val="21"/>
          <w:highlight w:val="none"/>
          <w:lang w:val="en-US" w:eastAsia="zh-CN"/>
        </w:rPr>
        <w:t xml:space="preserve">5.3开标时间： </w:t>
      </w:r>
      <w:r>
        <w:rPr>
          <w:rFonts w:hint="default" w:ascii="宋体" w:hAnsi="宋体"/>
          <w:snapToGrid w:val="0"/>
          <w:kern w:val="0"/>
          <w:szCs w:val="21"/>
          <w:highlight w:val="none"/>
          <w:lang w:eastAsia="zh-CN"/>
        </w:rPr>
        <w:t>2026</w:t>
      </w:r>
      <w:r>
        <w:rPr>
          <w:rFonts w:hint="eastAsia" w:ascii="宋体" w:hAnsi="宋体"/>
          <w:snapToGrid w:val="0"/>
          <w:kern w:val="0"/>
          <w:szCs w:val="21"/>
          <w:highlight w:val="none"/>
          <w:lang w:val="en-US" w:eastAsia="zh-CN"/>
        </w:rPr>
        <w:t>年6月22日</w:t>
      </w:r>
      <w:r>
        <w:rPr>
          <w:rFonts w:hint="default" w:ascii="宋体" w:hAnsi="宋体"/>
          <w:snapToGrid w:val="0"/>
          <w:kern w:val="0"/>
          <w:szCs w:val="21"/>
          <w:highlight w:val="none"/>
          <w:lang w:eastAsia="zh-CN"/>
        </w:rPr>
        <w:t>15</w:t>
      </w:r>
      <w:r>
        <w:rPr>
          <w:rFonts w:hint="eastAsia" w:ascii="宋体" w:hAnsi="宋体"/>
          <w:snapToGrid w:val="0"/>
          <w:kern w:val="0"/>
          <w:szCs w:val="21"/>
          <w:highlight w:val="none"/>
          <w:lang w:val="en-US" w:eastAsia="zh-CN"/>
        </w:rPr>
        <w:t>时</w:t>
      </w:r>
      <w:r>
        <w:rPr>
          <w:rFonts w:hint="default" w:ascii="宋体" w:hAnsi="宋体"/>
          <w:snapToGrid w:val="0"/>
          <w:kern w:val="0"/>
          <w:szCs w:val="21"/>
          <w:highlight w:val="none"/>
          <w:lang w:eastAsia="zh-CN"/>
        </w:rPr>
        <w:t>0</w:t>
      </w:r>
      <w:r>
        <w:rPr>
          <w:rFonts w:hint="eastAsia" w:ascii="宋体" w:hAnsi="宋体"/>
          <w:snapToGrid w:val="0"/>
          <w:kern w:val="0"/>
          <w:szCs w:val="21"/>
          <w:highlight w:val="none"/>
          <w:lang w:val="en-US" w:eastAsia="zh-CN"/>
        </w:rPr>
        <w:t>分，开标地点</w:t>
      </w:r>
      <w:r>
        <w:rPr>
          <w:rFonts w:hint="eastAsia" w:ascii="宋体" w:hAnsi="宋体" w:eastAsia="宋体" w:cs="Times New Roman"/>
          <w:snapToGrid w:val="0"/>
          <w:kern w:val="0"/>
          <w:szCs w:val="21"/>
          <w:highlight w:val="none"/>
          <w:lang w:val="en-US" w:eastAsia="zh-CN"/>
        </w:rPr>
        <w:t>：重庆市彭水县绍庆街道阿依河社区6组168号阿依河景区接待中心会议室，具</w:t>
      </w:r>
      <w:r>
        <w:rPr>
          <w:rFonts w:hint="eastAsia" w:ascii="宋体" w:hAnsi="宋体"/>
          <w:snapToGrid w:val="0"/>
          <w:kern w:val="0"/>
          <w:szCs w:val="21"/>
          <w:highlight w:val="none"/>
          <w:lang w:val="en-US" w:eastAsia="zh-CN"/>
        </w:rPr>
        <w:t>体以开标当天安排为准。</w:t>
      </w:r>
    </w:p>
    <w:p w14:paraId="44C7C33E">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6</w:t>
      </w:r>
      <w:r>
        <w:rPr>
          <w:rFonts w:hint="eastAsia" w:ascii="宋体" w:hAnsi="宋体"/>
          <w:snapToGrid w:val="0"/>
          <w:sz w:val="28"/>
          <w:szCs w:val="28"/>
          <w:highlight w:val="none"/>
        </w:rPr>
        <w:t>.拟中标结果的公示</w:t>
      </w:r>
    </w:p>
    <w:p w14:paraId="1C474D99">
      <w:pPr>
        <w:pStyle w:val="4"/>
        <w:pageBreakBefore w:val="0"/>
        <w:widowControl w:val="0"/>
        <w:kinsoku/>
        <w:wordWrap/>
        <w:overflowPunct/>
        <w:topLinePunct w:val="0"/>
        <w:bidi w:val="0"/>
        <w:spacing w:before="0" w:after="0" w:line="400" w:lineRule="exac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宋体" w:hAnsi="宋体" w:eastAsia="宋体" w:cs="Times New Roman"/>
          <w:b w:val="0"/>
          <w:bCs w:val="0"/>
          <w:snapToGrid w:val="0"/>
          <w:kern w:val="0"/>
          <w:sz w:val="21"/>
          <w:szCs w:val="21"/>
          <w:highlight w:val="none"/>
          <w:lang w:val="en-US" w:eastAsia="zh-CN" w:bidi="ar-SA"/>
        </w:rPr>
        <w:t xml:space="preserve">    中选结果在阿依河景区官网（网址：http://www.ayhjq.com）上进行公示，公示期为</w:t>
      </w:r>
      <w:r>
        <w:rPr>
          <w:rFonts w:hint="eastAsia" w:ascii="宋体" w:hAnsi="宋体" w:cs="Times New Roman"/>
          <w:b w:val="0"/>
          <w:bCs w:val="0"/>
          <w:snapToGrid w:val="0"/>
          <w:kern w:val="0"/>
          <w:sz w:val="21"/>
          <w:szCs w:val="21"/>
          <w:highlight w:val="none"/>
          <w:lang w:val="en-US" w:eastAsia="zh-CN" w:bidi="ar-SA"/>
        </w:rPr>
        <w:t>3</w:t>
      </w:r>
      <w:r>
        <w:rPr>
          <w:rFonts w:hint="eastAsia" w:ascii="宋体" w:hAnsi="宋体" w:eastAsia="宋体" w:cs="Times New Roman"/>
          <w:b w:val="0"/>
          <w:bCs w:val="0"/>
          <w:snapToGrid w:val="0"/>
          <w:kern w:val="0"/>
          <w:sz w:val="21"/>
          <w:szCs w:val="21"/>
          <w:highlight w:val="none"/>
          <w:lang w:val="en-US" w:eastAsia="zh-CN" w:bidi="ar-SA"/>
        </w:rPr>
        <w:t>日历天。</w:t>
      </w:r>
    </w:p>
    <w:p w14:paraId="7EA29F39">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rPr>
        <w:t>7</w:t>
      </w:r>
      <w:r>
        <w:rPr>
          <w:rFonts w:ascii="宋体" w:hAnsi="宋体"/>
          <w:snapToGrid w:val="0"/>
          <w:sz w:val="28"/>
          <w:szCs w:val="28"/>
          <w:highlight w:val="none"/>
        </w:rPr>
        <w:t>.联系方式</w:t>
      </w:r>
    </w:p>
    <w:p w14:paraId="2873C476">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rPr>
        <w:t>比选人：</w:t>
      </w:r>
      <w:r>
        <w:rPr>
          <w:rFonts w:hint="eastAsia" w:ascii="宋体" w:hAnsi="宋体"/>
          <w:snapToGrid w:val="0"/>
          <w:kern w:val="0"/>
          <w:szCs w:val="21"/>
          <w:highlight w:val="none"/>
          <w:u w:val="single"/>
          <w:lang w:val="en-US" w:eastAsia="zh-CN"/>
        </w:rPr>
        <w:t>重庆乌江画廊旅游开发有限公司阿依河分公司</w:t>
      </w:r>
    </w:p>
    <w:p w14:paraId="080FDD9F">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rPr>
        <w:t>地  址：</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重庆市彭水县绍庆街道阿依河社区6组168号阿依河景区接待中心</w:t>
      </w:r>
    </w:p>
    <w:p w14:paraId="3B26827D">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联系人：</w:t>
      </w:r>
      <w:r>
        <w:rPr>
          <w:rFonts w:hint="eastAsia" w:ascii="宋体" w:hAnsi="宋体"/>
          <w:snapToGrid w:val="0"/>
          <w:kern w:val="0"/>
          <w:szCs w:val="21"/>
          <w:highlight w:val="none"/>
          <w:u w:val="single"/>
          <w:lang w:val="en-US" w:eastAsia="zh-CN"/>
        </w:rPr>
        <w:t>刘</w:t>
      </w:r>
      <w:r>
        <w:rPr>
          <w:rFonts w:hint="eastAsia" w:ascii="宋体" w:hAnsi="宋体"/>
          <w:snapToGrid w:val="0"/>
          <w:kern w:val="0"/>
          <w:szCs w:val="21"/>
          <w:highlight w:val="none"/>
          <w:u w:val="single"/>
        </w:rPr>
        <w:t>老师</w:t>
      </w:r>
    </w:p>
    <w:p w14:paraId="1C8AD39A">
      <w:pPr>
        <w:tabs>
          <w:tab w:val="left" w:pos="4395"/>
          <w:tab w:val="left" w:pos="4678"/>
          <w:tab w:val="left" w:pos="8420"/>
        </w:tabs>
        <w:autoSpaceDE w:val="0"/>
        <w:autoSpaceDN w:val="0"/>
        <w:adjustRightInd w:val="0"/>
        <w:snapToGrid w:val="0"/>
        <w:spacing w:line="400" w:lineRule="exact"/>
        <w:ind w:firstLine="420" w:firstLineChars="200"/>
        <w:jc w:val="left"/>
        <w:rPr>
          <w:rFonts w:ascii="宋体" w:hAnsi="宋体"/>
          <w:snapToGrid w:val="0"/>
          <w:kern w:val="0"/>
          <w:highlight w:val="none"/>
        </w:rPr>
      </w:pPr>
      <w:r>
        <w:rPr>
          <w:rFonts w:hint="eastAsia" w:ascii="宋体" w:hAnsi="宋体"/>
          <w:snapToGrid w:val="0"/>
          <w:kern w:val="0"/>
          <w:szCs w:val="21"/>
          <w:highlight w:val="none"/>
        </w:rPr>
        <w:t>电</w:t>
      </w:r>
      <w:r>
        <w:rPr>
          <w:rFonts w:ascii="宋体" w:hAnsi="宋体"/>
          <w:snapToGrid w:val="0"/>
          <w:kern w:val="0"/>
          <w:szCs w:val="21"/>
          <w:highlight w:val="none"/>
        </w:rPr>
        <w:t xml:space="preserve">  </w:t>
      </w:r>
      <w:r>
        <w:rPr>
          <w:rFonts w:hint="eastAsia" w:ascii="宋体" w:hAnsi="宋体"/>
          <w:snapToGrid w:val="0"/>
          <w:kern w:val="0"/>
          <w:szCs w:val="21"/>
          <w:highlight w:val="none"/>
        </w:rPr>
        <w:t>话：</w:t>
      </w:r>
      <w:r>
        <w:rPr>
          <w:rFonts w:hint="eastAsia" w:ascii="宋体" w:hAnsi="宋体"/>
          <w:snapToGrid w:val="0"/>
          <w:kern w:val="0"/>
          <w:szCs w:val="21"/>
          <w:highlight w:val="none"/>
          <w:u w:val="single"/>
          <w:lang w:val="en-US" w:eastAsia="zh-CN"/>
        </w:rPr>
        <w:t xml:space="preserve">15025486525 </w:t>
      </w:r>
    </w:p>
    <w:p w14:paraId="7736F433">
      <w:pPr>
        <w:rPr>
          <w:rFonts w:ascii="宋体" w:hAnsi="宋体"/>
          <w:snapToGrid w:val="0"/>
          <w:kern w:val="0"/>
          <w:highlight w:val="none"/>
        </w:rPr>
      </w:pPr>
    </w:p>
    <w:p w14:paraId="073C178E">
      <w:pPr>
        <w:pStyle w:val="2"/>
        <w:rPr>
          <w:rFonts w:ascii="宋体" w:hAnsi="宋体"/>
          <w:snapToGrid w:val="0"/>
          <w:kern w:val="0"/>
          <w:highlight w:val="none"/>
        </w:rPr>
      </w:pPr>
    </w:p>
    <w:p w14:paraId="24BA9914">
      <w:pPr>
        <w:rPr>
          <w:rFonts w:ascii="宋体" w:hAnsi="宋体"/>
          <w:snapToGrid w:val="0"/>
          <w:kern w:val="0"/>
          <w:highlight w:val="none"/>
        </w:rPr>
      </w:pPr>
    </w:p>
    <w:p w14:paraId="4666C832">
      <w:pPr>
        <w:rPr>
          <w:rFonts w:ascii="宋体" w:hAnsi="宋体"/>
          <w:snapToGrid w:val="0"/>
          <w:kern w:val="0"/>
          <w:highlight w:val="none"/>
        </w:rPr>
      </w:pPr>
    </w:p>
    <w:p w14:paraId="37E328A7">
      <w:pPr>
        <w:pStyle w:val="3"/>
        <w:pageBreakBefore w:val="0"/>
        <w:widowControl w:val="0"/>
        <w:kinsoku/>
        <w:wordWrap/>
        <w:overflowPunct/>
        <w:topLinePunct w:val="0"/>
        <w:autoSpaceDE/>
        <w:autoSpaceDN/>
        <w:bidi w:val="0"/>
        <w:adjustRightInd/>
        <w:snapToGrid/>
        <w:spacing w:before="0" w:after="0" w:line="600" w:lineRule="exact"/>
        <w:ind w:firstLine="2209" w:firstLineChars="500"/>
        <w:jc w:val="both"/>
        <w:textAlignment w:val="auto"/>
        <w:rPr>
          <w:rFonts w:ascii="宋体" w:hAnsi="宋体"/>
          <w:snapToGrid w:val="0"/>
          <w:kern w:val="0"/>
          <w:highlight w:val="none"/>
        </w:rPr>
      </w:pPr>
      <w:r>
        <w:rPr>
          <w:rFonts w:ascii="宋体" w:hAnsi="宋体"/>
          <w:snapToGrid w:val="0"/>
          <w:kern w:val="0"/>
          <w:highlight w:val="none"/>
        </w:rPr>
        <w:t>第</w:t>
      </w:r>
      <w:r>
        <w:rPr>
          <w:rFonts w:hint="eastAsia" w:ascii="宋体" w:hAnsi="宋体"/>
          <w:snapToGrid w:val="0"/>
          <w:kern w:val="0"/>
          <w:highlight w:val="none"/>
        </w:rPr>
        <w:t>二</w:t>
      </w:r>
      <w:r>
        <w:rPr>
          <w:rFonts w:ascii="宋体" w:hAnsi="宋体"/>
          <w:snapToGrid w:val="0"/>
          <w:kern w:val="0"/>
          <w:highlight w:val="none"/>
        </w:rPr>
        <w:t xml:space="preserve">章  </w:t>
      </w:r>
      <w:r>
        <w:rPr>
          <w:rFonts w:hint="eastAsia" w:ascii="宋体" w:hAnsi="宋体"/>
          <w:snapToGrid w:val="0"/>
          <w:kern w:val="0"/>
          <w:highlight w:val="none"/>
        </w:rPr>
        <w:t>参选人须知</w:t>
      </w:r>
    </w:p>
    <w:p w14:paraId="64EC4FCA">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napToGrid w:val="0"/>
          <w:sz w:val="28"/>
          <w:szCs w:val="28"/>
          <w:highlight w:val="none"/>
        </w:rPr>
      </w:pPr>
    </w:p>
    <w:p w14:paraId="00D136A9">
      <w:pPr>
        <w:pageBreakBefore w:val="0"/>
        <w:widowControl w:val="0"/>
        <w:kinsoku/>
        <w:wordWrap/>
        <w:overflowPunct/>
        <w:topLinePunct w:val="0"/>
        <w:autoSpaceDE/>
        <w:autoSpaceDN/>
        <w:bidi w:val="0"/>
        <w:adjustRightInd/>
        <w:snapToGrid/>
        <w:spacing w:line="600" w:lineRule="exact"/>
        <w:textAlignment w:val="auto"/>
        <w:outlineLvl w:val="1"/>
        <w:rPr>
          <w:rFonts w:hint="default" w:ascii="宋体" w:hAnsi="宋体" w:eastAsia="宋体"/>
          <w:b/>
          <w:bCs/>
          <w:snapToGrid w:val="0"/>
          <w:sz w:val="28"/>
          <w:szCs w:val="28"/>
          <w:highlight w:val="none"/>
          <w:lang w:val="en-US" w:eastAsia="zh-CN"/>
        </w:rPr>
      </w:pPr>
      <w:r>
        <w:rPr>
          <w:rFonts w:hint="eastAsia" w:ascii="宋体" w:hAnsi="宋体"/>
          <w:b/>
          <w:bCs/>
          <w:snapToGrid w:val="0"/>
          <w:sz w:val="28"/>
          <w:szCs w:val="28"/>
          <w:highlight w:val="none"/>
        </w:rPr>
        <w:t>1.</w:t>
      </w:r>
      <w:r>
        <w:rPr>
          <w:rFonts w:hint="eastAsia" w:ascii="宋体" w:hAnsi="宋体"/>
          <w:b/>
          <w:bCs/>
          <w:snapToGrid w:val="0"/>
          <w:sz w:val="28"/>
          <w:szCs w:val="28"/>
          <w:highlight w:val="none"/>
          <w:lang w:val="en-US" w:eastAsia="zh-CN"/>
        </w:rPr>
        <w:t>比选基本信息</w:t>
      </w:r>
    </w:p>
    <w:p w14:paraId="3E2D6189">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color w:val="000000"/>
          <w:szCs w:val="21"/>
          <w:highlight w:val="none"/>
          <w:u w:val="single"/>
          <w:lang w:val="en-US" w:eastAsia="zh-CN"/>
        </w:rPr>
      </w:pPr>
      <w:r>
        <w:rPr>
          <w:rFonts w:hint="eastAsia" w:ascii="宋体" w:hAnsi="宋体"/>
          <w:color w:val="000000"/>
          <w:szCs w:val="21"/>
          <w:highlight w:val="none"/>
          <w:lang w:val="en-US" w:eastAsia="zh-CN"/>
        </w:rPr>
        <w:t>1.1.1比选人：</w:t>
      </w:r>
      <w:r>
        <w:rPr>
          <w:rFonts w:hint="eastAsia" w:ascii="宋体" w:hAnsi="宋体"/>
          <w:color w:val="000000"/>
          <w:szCs w:val="21"/>
          <w:highlight w:val="none"/>
          <w:u w:val="single"/>
          <w:lang w:val="en-US" w:eastAsia="zh-CN"/>
        </w:rPr>
        <w:t>重庆乌江画廊旅游开发有限公司阿依河分公司</w:t>
      </w:r>
    </w:p>
    <w:p w14:paraId="0F3F3AE0">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color w:val="000000"/>
          <w:szCs w:val="21"/>
          <w:highlight w:val="none"/>
          <w:lang w:val="en-US" w:eastAsia="zh-CN"/>
        </w:rPr>
        <w:t>1.1.2项目名称：</w:t>
      </w:r>
      <w:r>
        <w:rPr>
          <w:rFonts w:hint="eastAsia" w:ascii="宋体" w:hAnsi="宋体"/>
          <w:snapToGrid w:val="0"/>
          <w:kern w:val="0"/>
          <w:szCs w:val="21"/>
          <w:highlight w:val="none"/>
          <w:u w:val="single"/>
          <w:lang w:val="en-US" w:eastAsia="zh-CN"/>
        </w:rPr>
        <w:t>阿依河景区夜景灯饰及声光电提升EPC工程</w:t>
      </w:r>
    </w:p>
    <w:p w14:paraId="142D0C34">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1.2.1资金来源：</w:t>
      </w:r>
      <w:r>
        <w:rPr>
          <w:rFonts w:hint="eastAsia" w:ascii="宋体" w:hAnsi="宋体"/>
          <w:snapToGrid w:val="0"/>
          <w:kern w:val="0"/>
          <w:szCs w:val="21"/>
          <w:highlight w:val="none"/>
          <w:u w:val="single"/>
          <w:lang w:val="en-US" w:eastAsia="zh-CN"/>
        </w:rPr>
        <w:t>自筹</w:t>
      </w:r>
    </w:p>
    <w:p w14:paraId="6C9AD3D8">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1.2.2出资比例：</w:t>
      </w:r>
      <w:r>
        <w:rPr>
          <w:rFonts w:hint="eastAsia" w:ascii="宋体" w:hAnsi="宋体"/>
          <w:snapToGrid w:val="0"/>
          <w:kern w:val="0"/>
          <w:szCs w:val="21"/>
          <w:highlight w:val="none"/>
          <w:u w:val="single"/>
          <w:lang w:val="en-US" w:eastAsia="zh-CN"/>
        </w:rPr>
        <w:t>100%</w:t>
      </w:r>
    </w:p>
    <w:p w14:paraId="2D5062E5">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1.3.1比选范围：</w:t>
      </w:r>
      <w:r>
        <w:rPr>
          <w:rFonts w:hint="eastAsia" w:ascii="宋体" w:hAnsi="宋体"/>
          <w:snapToGrid w:val="0"/>
          <w:kern w:val="0"/>
          <w:szCs w:val="21"/>
          <w:highlight w:val="none"/>
          <w:u w:val="single"/>
          <w:lang w:val="en-US" w:eastAsia="zh-CN"/>
        </w:rPr>
        <w:t>详见第一章比选公告第2条“项目概况与比选范围”</w:t>
      </w:r>
    </w:p>
    <w:p w14:paraId="364AA19D">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1.3.2工期要求：</w:t>
      </w:r>
      <w:r>
        <w:rPr>
          <w:rFonts w:hint="eastAsia" w:ascii="宋体" w:hAnsi="宋体"/>
          <w:snapToGrid w:val="0"/>
          <w:kern w:val="0"/>
          <w:szCs w:val="21"/>
          <w:highlight w:val="none"/>
          <w:u w:val="single"/>
          <w:lang w:val="en-US" w:eastAsia="zh-CN"/>
        </w:rPr>
        <w:t>详见第一章比选公告第2条第2.4款“工期要求”</w:t>
      </w:r>
    </w:p>
    <w:p w14:paraId="5980AA35">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1.4.1参选人资格要求：</w:t>
      </w:r>
      <w:r>
        <w:rPr>
          <w:rFonts w:hint="eastAsia" w:ascii="宋体" w:hAnsi="宋体"/>
          <w:snapToGrid w:val="0"/>
          <w:kern w:val="0"/>
          <w:szCs w:val="21"/>
          <w:highlight w:val="none"/>
          <w:u w:val="single"/>
          <w:lang w:val="en-US" w:eastAsia="zh-CN"/>
        </w:rPr>
        <w:t>详见第一章比选公告第3条“参选人资格要求”</w:t>
      </w:r>
    </w:p>
    <w:p w14:paraId="2E72A603">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1.4.2是否接受联合体参选：</w:t>
      </w:r>
      <w:r>
        <w:rPr>
          <w:rFonts w:hint="eastAsia" w:ascii="宋体" w:hAnsi="宋体"/>
          <w:snapToGrid w:val="0"/>
          <w:kern w:val="0"/>
          <w:szCs w:val="21"/>
          <w:highlight w:val="none"/>
          <w:u w:val="single"/>
          <w:lang w:val="en-US" w:eastAsia="zh-CN"/>
        </w:rPr>
        <w:t>详见第一章比选公告第3条第3.1款“资质条件”</w:t>
      </w:r>
    </w:p>
    <w:p w14:paraId="7B486379">
      <w:pPr>
        <w:pageBreakBefore w:val="0"/>
        <w:kinsoku/>
        <w:wordWrap/>
        <w:overflowPunct/>
        <w:topLinePunct w:val="0"/>
        <w:autoSpaceDE/>
        <w:autoSpaceDN/>
        <w:bidi w:val="0"/>
        <w:adjustRightInd/>
        <w:snapToGrid/>
        <w:spacing w:line="400" w:lineRule="exact"/>
        <w:jc w:val="both"/>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2.踏勘现场</w:t>
      </w:r>
    </w:p>
    <w:p w14:paraId="33B8AF67">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ascii="宋体" w:hAnsi="宋体"/>
          <w:color w:val="000000"/>
          <w:szCs w:val="21"/>
          <w:highlight w:val="none"/>
        </w:rPr>
      </w:pPr>
      <w:r>
        <w:rPr>
          <w:rFonts w:hint="eastAsia" w:ascii="宋体" w:hAnsi="宋体"/>
          <w:color w:val="000000"/>
          <w:szCs w:val="21"/>
          <w:highlight w:val="none"/>
        </w:rPr>
        <w:t>比选人</w:t>
      </w:r>
      <w:r>
        <w:rPr>
          <w:rFonts w:ascii="宋体" w:hAnsi="宋体"/>
          <w:color w:val="000000"/>
          <w:szCs w:val="21"/>
          <w:highlight w:val="none"/>
        </w:rPr>
        <w:t>不组织，由各</w:t>
      </w:r>
      <w:r>
        <w:rPr>
          <w:rFonts w:hint="eastAsia" w:ascii="宋体" w:hAnsi="宋体"/>
          <w:color w:val="000000"/>
          <w:szCs w:val="21"/>
          <w:highlight w:val="none"/>
        </w:rPr>
        <w:t>参选人</w:t>
      </w:r>
      <w:r>
        <w:rPr>
          <w:rFonts w:ascii="宋体" w:hAnsi="宋体"/>
          <w:color w:val="000000"/>
          <w:szCs w:val="21"/>
          <w:highlight w:val="none"/>
        </w:rPr>
        <w:t>自行踏勘，</w:t>
      </w:r>
      <w:r>
        <w:rPr>
          <w:rFonts w:hint="eastAsia" w:ascii="宋体" w:hAnsi="宋体"/>
          <w:color w:val="000000"/>
          <w:szCs w:val="21"/>
          <w:highlight w:val="none"/>
        </w:rPr>
        <w:t>比选人</w:t>
      </w:r>
      <w:r>
        <w:rPr>
          <w:rFonts w:ascii="宋体" w:hAnsi="宋体"/>
          <w:color w:val="000000"/>
          <w:szCs w:val="21"/>
          <w:highlight w:val="none"/>
        </w:rPr>
        <w:t>予以配合。无论</w:t>
      </w:r>
      <w:r>
        <w:rPr>
          <w:rFonts w:hint="eastAsia" w:ascii="宋体" w:hAnsi="宋体"/>
          <w:color w:val="000000"/>
          <w:szCs w:val="21"/>
          <w:highlight w:val="none"/>
        </w:rPr>
        <w:t>参选人</w:t>
      </w:r>
      <w:r>
        <w:rPr>
          <w:rFonts w:ascii="宋体" w:hAnsi="宋体"/>
          <w:color w:val="000000"/>
          <w:szCs w:val="21"/>
          <w:highlight w:val="none"/>
        </w:rPr>
        <w:t>是否踏勘过现场，均被认为在递交</w:t>
      </w:r>
      <w:r>
        <w:rPr>
          <w:rFonts w:hint="eastAsia" w:ascii="宋体" w:hAnsi="宋体"/>
          <w:color w:val="000000"/>
          <w:szCs w:val="21"/>
          <w:highlight w:val="none"/>
        </w:rPr>
        <w:t>比选</w:t>
      </w:r>
      <w:r>
        <w:rPr>
          <w:rFonts w:ascii="宋体" w:hAnsi="宋体"/>
          <w:color w:val="000000"/>
          <w:szCs w:val="21"/>
          <w:highlight w:val="none"/>
        </w:rPr>
        <w:t>文件之前已经踏勘现场，对本项目的风险和义务已经十分了解，并在其文件中已充分考虑了现场和环境条件。踏勘现场所发生的费用由</w:t>
      </w:r>
      <w:r>
        <w:rPr>
          <w:rFonts w:hint="eastAsia" w:ascii="宋体" w:hAnsi="宋体"/>
          <w:color w:val="000000"/>
          <w:szCs w:val="21"/>
          <w:highlight w:val="none"/>
        </w:rPr>
        <w:t>参选人</w:t>
      </w:r>
      <w:r>
        <w:rPr>
          <w:rFonts w:ascii="宋体" w:hAnsi="宋体"/>
          <w:color w:val="000000"/>
          <w:szCs w:val="21"/>
          <w:highlight w:val="none"/>
        </w:rPr>
        <w:t>承担。</w:t>
      </w:r>
    </w:p>
    <w:p w14:paraId="25DD4174">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b/>
          <w:bCs/>
          <w:snapToGrid w:val="0"/>
          <w:sz w:val="28"/>
          <w:szCs w:val="28"/>
          <w:highlight w:val="none"/>
        </w:rPr>
      </w:pPr>
      <w:r>
        <w:rPr>
          <w:rFonts w:hint="eastAsia" w:ascii="宋体" w:hAnsi="宋体"/>
          <w:color w:val="000000"/>
          <w:szCs w:val="21"/>
          <w:highlight w:val="none"/>
        </w:rPr>
        <w:t>参选人</w:t>
      </w:r>
      <w:r>
        <w:rPr>
          <w:rFonts w:ascii="宋体" w:hAnsi="宋体"/>
          <w:color w:val="000000"/>
          <w:szCs w:val="21"/>
          <w:highlight w:val="none"/>
        </w:rPr>
        <w:t>及其人员应当做到安全文明踏勘现场，如果</w:t>
      </w:r>
      <w:r>
        <w:rPr>
          <w:rFonts w:hint="eastAsia" w:ascii="宋体" w:hAnsi="宋体"/>
          <w:color w:val="000000"/>
          <w:szCs w:val="21"/>
          <w:highlight w:val="none"/>
        </w:rPr>
        <w:t>参选人</w:t>
      </w:r>
      <w:r>
        <w:rPr>
          <w:rFonts w:ascii="宋体" w:hAnsi="宋体"/>
          <w:color w:val="000000"/>
          <w:szCs w:val="21"/>
          <w:highlight w:val="none"/>
        </w:rPr>
        <w:t>在踏勘现场过程中造成了人身损害或财产损害，</w:t>
      </w:r>
      <w:r>
        <w:rPr>
          <w:rFonts w:hint="eastAsia" w:ascii="宋体" w:hAnsi="宋体"/>
          <w:color w:val="000000"/>
          <w:szCs w:val="21"/>
          <w:highlight w:val="none"/>
        </w:rPr>
        <w:t>参选人</w:t>
      </w:r>
      <w:r>
        <w:rPr>
          <w:rFonts w:ascii="宋体" w:hAnsi="宋体"/>
          <w:color w:val="000000"/>
          <w:szCs w:val="21"/>
          <w:highlight w:val="none"/>
        </w:rPr>
        <w:t>应当承担一切法律责任和经济责任。</w:t>
      </w:r>
    </w:p>
    <w:p w14:paraId="4C808EF5">
      <w:pPr>
        <w:pageBreakBefore w:val="0"/>
        <w:kinsoku/>
        <w:wordWrap/>
        <w:overflowPunct/>
        <w:topLinePunct w:val="0"/>
        <w:autoSpaceDE/>
        <w:autoSpaceDN/>
        <w:bidi w:val="0"/>
        <w:adjustRightInd/>
        <w:snapToGrid/>
        <w:spacing w:line="400" w:lineRule="exact"/>
        <w:jc w:val="both"/>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3.比选要求</w:t>
      </w:r>
    </w:p>
    <w:p w14:paraId="01BAEE3A">
      <w:pPr>
        <w:pageBreakBefore w:val="0"/>
        <w:widowControl/>
        <w:kinsoku/>
        <w:wordWrap/>
        <w:overflowPunct/>
        <w:topLinePunct w:val="0"/>
        <w:autoSpaceDE/>
        <w:autoSpaceDN/>
        <w:bidi w:val="0"/>
        <w:adjustRightInd/>
        <w:snapToGrid/>
        <w:spacing w:line="400" w:lineRule="exact"/>
        <w:ind w:firstLine="420" w:firstLineChars="200"/>
        <w:jc w:val="both"/>
        <w:textAlignment w:val="auto"/>
        <w:rPr>
          <w:szCs w:val="21"/>
          <w:highlight w:val="none"/>
          <w:u w:val="single"/>
        </w:rPr>
      </w:pPr>
      <w:r>
        <w:rPr>
          <w:rFonts w:hint="eastAsia" w:ascii="宋体" w:hAnsi="宋体"/>
          <w:color w:val="000000"/>
          <w:szCs w:val="21"/>
          <w:highlight w:val="none"/>
        </w:rPr>
        <w:t>参选文件的组成：</w:t>
      </w:r>
      <w:r>
        <w:rPr>
          <w:rFonts w:hint="eastAsia" w:ascii="宋体" w:hAnsi="宋体"/>
          <w:color w:val="000000"/>
          <w:szCs w:val="21"/>
          <w:highlight w:val="none"/>
          <w:u w:val="single"/>
        </w:rPr>
        <w:t>报价文件、技术方案和资格审查三个部分组成。</w:t>
      </w:r>
    </w:p>
    <w:p w14:paraId="5A719853">
      <w:pPr>
        <w:pageBreakBefore w:val="0"/>
        <w:widowControl/>
        <w:kinsoku/>
        <w:wordWrap/>
        <w:overflowPunct/>
        <w:topLinePunct w:val="0"/>
        <w:autoSpaceDE/>
        <w:autoSpaceDN/>
        <w:bidi w:val="0"/>
        <w:adjustRightInd/>
        <w:snapToGrid/>
        <w:spacing w:line="400" w:lineRule="exact"/>
        <w:ind w:firstLine="422" w:firstLineChars="200"/>
        <w:jc w:val="both"/>
        <w:textAlignment w:val="auto"/>
        <w:outlineLvl w:val="2"/>
        <w:rPr>
          <w:rFonts w:ascii="宋体" w:hAnsi="宋体"/>
          <w:b/>
          <w:bCs/>
          <w:color w:val="000000"/>
          <w:szCs w:val="21"/>
          <w:highlight w:val="none"/>
        </w:rPr>
      </w:pPr>
      <w:r>
        <w:rPr>
          <w:rFonts w:hint="eastAsia" w:ascii="宋体" w:hAnsi="宋体"/>
          <w:b/>
          <w:bCs/>
          <w:color w:val="000000"/>
          <w:szCs w:val="21"/>
          <w:highlight w:val="none"/>
        </w:rPr>
        <w:t>3.1报价文件编制要求</w:t>
      </w:r>
    </w:p>
    <w:p w14:paraId="165803E7">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3.1.1整体费用构成</w:t>
      </w:r>
    </w:p>
    <w:p w14:paraId="11FFF5B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olor w:val="000000"/>
          <w:szCs w:val="21"/>
          <w:highlight w:val="none"/>
          <w:lang w:val="en-US" w:eastAsia="zh-CN"/>
        </w:rPr>
      </w:pPr>
      <w:r>
        <w:rPr>
          <w:rFonts w:hint="default" w:ascii="宋体" w:hAnsi="宋体" w:eastAsia="宋体"/>
          <w:color w:val="000000"/>
          <w:szCs w:val="21"/>
          <w:highlight w:val="none"/>
          <w:lang w:val="en-US" w:eastAsia="zh-CN"/>
        </w:rPr>
        <w:t>本项目的</w:t>
      </w:r>
      <w:r>
        <w:rPr>
          <w:rFonts w:hint="eastAsia" w:ascii="宋体" w:hAnsi="宋体"/>
          <w:color w:val="000000"/>
          <w:szCs w:val="21"/>
          <w:highlight w:val="none"/>
          <w:lang w:val="en-US" w:eastAsia="zh-CN"/>
        </w:rPr>
        <w:t>整体</w:t>
      </w:r>
      <w:r>
        <w:rPr>
          <w:rFonts w:hint="default" w:ascii="宋体" w:hAnsi="宋体" w:eastAsia="宋体"/>
          <w:color w:val="000000"/>
          <w:szCs w:val="21"/>
          <w:highlight w:val="none"/>
          <w:lang w:val="en-US" w:eastAsia="zh-CN"/>
        </w:rPr>
        <w:t>费用由</w:t>
      </w:r>
      <w:r>
        <w:rPr>
          <w:rFonts w:hint="eastAsia" w:ascii="宋体" w:hAnsi="宋体"/>
          <w:color w:val="000000"/>
          <w:szCs w:val="21"/>
          <w:highlight w:val="none"/>
          <w:lang w:val="en-US" w:eastAsia="zh-CN"/>
        </w:rPr>
        <w:t>安装</w:t>
      </w:r>
      <w:r>
        <w:rPr>
          <w:rFonts w:hint="default" w:ascii="宋体" w:hAnsi="宋体" w:eastAsia="宋体"/>
          <w:color w:val="000000"/>
          <w:szCs w:val="21"/>
          <w:highlight w:val="none"/>
          <w:u w:val="single"/>
          <w:lang w:val="en-US" w:eastAsia="zh-CN"/>
        </w:rPr>
        <w:t>设计费、工程费</w:t>
      </w:r>
      <w:r>
        <w:rPr>
          <w:rFonts w:hint="default" w:ascii="宋体" w:hAnsi="宋体" w:eastAsia="宋体"/>
          <w:color w:val="000000"/>
          <w:szCs w:val="21"/>
          <w:highlight w:val="none"/>
          <w:lang w:val="en-US" w:eastAsia="zh-CN"/>
        </w:rPr>
        <w:t>组成，</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报价应为完成</w:t>
      </w:r>
      <w:r>
        <w:rPr>
          <w:rFonts w:hint="eastAsia" w:ascii="宋体" w:hAnsi="宋体"/>
          <w:color w:val="000000"/>
          <w:szCs w:val="21"/>
          <w:highlight w:val="none"/>
          <w:lang w:val="en-US" w:eastAsia="zh-CN"/>
        </w:rPr>
        <w:t>比选文件第一章第2.3款</w:t>
      </w:r>
      <w:r>
        <w:rPr>
          <w:rFonts w:hint="default" w:ascii="宋体" w:hAnsi="宋体" w:eastAsia="宋体"/>
          <w:color w:val="000000"/>
          <w:szCs w:val="21"/>
          <w:highlight w:val="none"/>
          <w:lang w:val="en-US" w:eastAsia="zh-CN"/>
        </w:rPr>
        <w:t>规定的</w:t>
      </w:r>
      <w:r>
        <w:rPr>
          <w:rFonts w:hint="eastAsia" w:ascii="宋体" w:hAnsi="宋体"/>
          <w:color w:val="000000"/>
          <w:szCs w:val="21"/>
          <w:highlight w:val="none"/>
          <w:lang w:val="en-US" w:eastAsia="zh-CN"/>
        </w:rPr>
        <w:t>“比选范围及服务内容”</w:t>
      </w:r>
      <w:r>
        <w:rPr>
          <w:rFonts w:hint="default" w:ascii="宋体" w:hAnsi="宋体" w:eastAsia="宋体"/>
          <w:color w:val="000000"/>
          <w:szCs w:val="21"/>
          <w:highlight w:val="none"/>
          <w:lang w:val="en-US" w:eastAsia="zh-CN"/>
        </w:rPr>
        <w:t>范围内所有工作以及按合同约定交付</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人项目成果所需的全部费用（包括方案设计</w:t>
      </w:r>
      <w:r>
        <w:rPr>
          <w:rFonts w:hint="eastAsia" w:ascii="宋体" w:hAnsi="宋体"/>
          <w:color w:val="000000"/>
          <w:szCs w:val="21"/>
          <w:highlight w:val="none"/>
          <w:lang w:val="en-US" w:eastAsia="zh-CN"/>
        </w:rPr>
        <w:t>阶段</w:t>
      </w:r>
      <w:r>
        <w:rPr>
          <w:rFonts w:hint="default" w:ascii="宋体" w:hAnsi="宋体" w:eastAsia="宋体"/>
          <w:color w:val="000000"/>
          <w:szCs w:val="21"/>
          <w:highlight w:val="none"/>
          <w:lang w:val="en-US" w:eastAsia="zh-CN"/>
        </w:rPr>
        <w:t>、</w:t>
      </w:r>
      <w:r>
        <w:rPr>
          <w:rFonts w:hint="eastAsia" w:ascii="宋体" w:hAnsi="宋体"/>
          <w:color w:val="000000"/>
          <w:szCs w:val="21"/>
          <w:highlight w:val="none"/>
          <w:lang w:val="en-US" w:eastAsia="zh-CN"/>
        </w:rPr>
        <w:t>安装</w:t>
      </w:r>
      <w:r>
        <w:rPr>
          <w:rFonts w:hint="default" w:ascii="宋体" w:hAnsi="宋体" w:eastAsia="宋体"/>
          <w:color w:val="000000"/>
          <w:szCs w:val="21"/>
          <w:highlight w:val="none"/>
          <w:lang w:val="en-US" w:eastAsia="zh-CN"/>
        </w:rPr>
        <w:t>工程施工图设计阶段、</w:t>
      </w:r>
      <w:r>
        <w:rPr>
          <w:rFonts w:hint="eastAsia" w:ascii="宋体" w:hAnsi="宋体"/>
          <w:color w:val="000000"/>
          <w:szCs w:val="21"/>
          <w:highlight w:val="none"/>
          <w:lang w:val="en-US" w:eastAsia="zh-CN"/>
        </w:rPr>
        <w:t>施工阶段</w:t>
      </w:r>
      <w:r>
        <w:rPr>
          <w:rFonts w:hint="default" w:ascii="宋体" w:hAnsi="宋体" w:eastAsia="宋体"/>
          <w:color w:val="000000"/>
          <w:szCs w:val="21"/>
          <w:highlight w:val="none"/>
          <w:lang w:val="en-US" w:eastAsia="zh-CN"/>
        </w:rPr>
        <w:t>、缺陷责任期全过程）。具体包括为实施和完成本项目</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范围（包括但不限于</w:t>
      </w:r>
      <w:r>
        <w:rPr>
          <w:rFonts w:hint="eastAsia" w:ascii="宋体" w:hAnsi="宋体"/>
          <w:color w:val="000000"/>
          <w:szCs w:val="21"/>
          <w:highlight w:val="none"/>
          <w:lang w:val="en-US" w:eastAsia="zh-CN"/>
        </w:rPr>
        <w:t>比选文件</w:t>
      </w:r>
      <w:r>
        <w:rPr>
          <w:rFonts w:hint="default" w:ascii="宋体" w:hAnsi="宋体" w:eastAsia="宋体"/>
          <w:color w:val="000000"/>
          <w:szCs w:val="21"/>
          <w:highlight w:val="none"/>
          <w:lang w:val="en-US" w:eastAsia="zh-CN"/>
        </w:rPr>
        <w:t>及</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人要求等）全部工作所需的前期准备工作、设计费（含资料费等）、管理费（含协调费等）、技术服务费、人工费、建筑设备材料费、施工机具使用费、企业管理费、利润、一般风险费、措施项目费（含临时设施费、检验检测费、系统集成费、安全文明施 工费）、其他项目费、规费、税金、</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 xml:space="preserve">文件及合同约定的相关费用、政策性文件规定的全部费用。 </w:t>
      </w:r>
    </w:p>
    <w:p w14:paraId="6720E317">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3.1.2</w:t>
      </w:r>
      <w:r>
        <w:rPr>
          <w:rFonts w:hint="default" w:ascii="宋体" w:hAnsi="宋体" w:eastAsia="宋体"/>
          <w:b w:val="0"/>
          <w:bCs w:val="0"/>
          <w:color w:val="000000"/>
          <w:szCs w:val="21"/>
          <w:highlight w:val="none"/>
          <w:lang w:val="en-US" w:eastAsia="zh-CN"/>
        </w:rPr>
        <w:t xml:space="preserve">报价方式 </w:t>
      </w:r>
    </w:p>
    <w:p w14:paraId="0F2A80CF">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olor w:val="000000"/>
          <w:szCs w:val="21"/>
          <w:highlight w:val="yellow"/>
          <w:lang w:val="en-US" w:eastAsia="zh-CN"/>
        </w:rPr>
      </w:pPr>
      <w:r>
        <w:rPr>
          <w:rFonts w:hint="default" w:ascii="宋体" w:hAnsi="宋体" w:eastAsia="宋体"/>
          <w:color w:val="000000"/>
          <w:szCs w:val="21"/>
          <w:highlight w:val="none"/>
          <w:lang w:val="en-US" w:eastAsia="zh-CN"/>
        </w:rPr>
        <w:t>本项目</w:t>
      </w:r>
      <w:r>
        <w:rPr>
          <w:rFonts w:hint="eastAsia" w:ascii="宋体" w:hAnsi="宋体"/>
          <w:color w:val="000000"/>
          <w:szCs w:val="21"/>
          <w:highlight w:val="none"/>
          <w:lang w:val="en-US" w:eastAsia="zh-CN"/>
        </w:rPr>
        <w:t>安装工程</w:t>
      </w:r>
      <w:r>
        <w:rPr>
          <w:rFonts w:hint="default" w:ascii="宋体" w:hAnsi="宋体" w:eastAsia="宋体"/>
          <w:color w:val="000000"/>
          <w:szCs w:val="21"/>
          <w:highlight w:val="none"/>
          <w:lang w:val="en-US" w:eastAsia="zh-CN"/>
        </w:rPr>
        <w:t>设计费用采用</w:t>
      </w:r>
      <w:r>
        <w:rPr>
          <w:rFonts w:hint="default" w:ascii="宋体" w:hAnsi="宋体" w:eastAsia="宋体"/>
          <w:color w:val="000000"/>
          <w:szCs w:val="21"/>
          <w:highlight w:val="none"/>
          <w:u w:val="single"/>
          <w:lang w:val="en-US" w:eastAsia="zh-CN"/>
        </w:rPr>
        <w:t>总价包干方式</w:t>
      </w:r>
      <w:r>
        <w:rPr>
          <w:rFonts w:hint="eastAsia" w:ascii="宋体" w:hAnsi="宋体"/>
          <w:color w:val="000000"/>
          <w:szCs w:val="21"/>
          <w:highlight w:val="none"/>
          <w:u w:val="single"/>
          <w:lang w:val="en-US" w:eastAsia="zh-CN"/>
        </w:rPr>
        <w:t>（设计费不允许报0或负数，否则作否决参选处理）</w:t>
      </w:r>
      <w:r>
        <w:rPr>
          <w:rFonts w:hint="eastAsia" w:ascii="宋体" w:hAnsi="宋体"/>
          <w:color w:val="000000"/>
          <w:szCs w:val="21"/>
          <w:highlight w:val="none"/>
          <w:lang w:val="en-US" w:eastAsia="zh-CN"/>
        </w:rPr>
        <w:t>；</w:t>
      </w:r>
      <w:r>
        <w:rPr>
          <w:rFonts w:hint="default" w:ascii="宋体" w:hAnsi="宋体" w:eastAsia="宋体"/>
          <w:color w:val="000000"/>
          <w:szCs w:val="21"/>
          <w:highlight w:val="none"/>
          <w:lang w:val="en-US" w:eastAsia="zh-CN"/>
        </w:rPr>
        <w:t>工程费采用</w:t>
      </w:r>
      <w:r>
        <w:rPr>
          <w:rFonts w:hint="default" w:ascii="宋体" w:hAnsi="宋体" w:eastAsia="宋体"/>
          <w:color w:val="000000"/>
          <w:szCs w:val="21"/>
          <w:highlight w:val="none"/>
          <w:u w:val="single"/>
          <w:lang w:val="en-US" w:eastAsia="zh-CN"/>
        </w:rPr>
        <w:t>固定费率包干的方式</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人根据项目情况、自身实力、市场行情分别填报设计费</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报价、工程费</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报价。</w:t>
      </w:r>
    </w:p>
    <w:p w14:paraId="34BEE93D">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3.1.3设计费最高限价</w:t>
      </w:r>
    </w:p>
    <w:p w14:paraId="05B5B449">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本项目安装工程设计费限价为75924.94元，安装工程设计费采用全费用综合包干报价，安装工程设计费报价以元为单位，保留小数点后两位，第三位四舍五入，不足两位的按实际位数保留。参选人</w:t>
      </w:r>
      <w:r>
        <w:rPr>
          <w:rFonts w:ascii="宋体" w:hAnsi="宋体" w:cs="Times New Roman"/>
          <w:color w:val="000000"/>
          <w:szCs w:val="21"/>
          <w:highlight w:val="none"/>
          <w:lang w:val="en-US" w:eastAsia="zh-CN"/>
        </w:rPr>
        <w:t>所报</w:t>
      </w:r>
      <w:r>
        <w:rPr>
          <w:rFonts w:hint="eastAsia" w:ascii="宋体" w:hAnsi="宋体" w:cs="Times New Roman"/>
          <w:color w:val="000000"/>
          <w:szCs w:val="21"/>
          <w:highlight w:val="none"/>
          <w:lang w:val="en-US" w:eastAsia="zh-CN"/>
        </w:rPr>
        <w:t>安装</w:t>
      </w:r>
      <w:r>
        <w:rPr>
          <w:rFonts w:hint="default" w:ascii="宋体" w:hAnsi="宋体" w:cs="Times New Roman"/>
          <w:color w:val="000000"/>
          <w:szCs w:val="21"/>
          <w:highlight w:val="none"/>
          <w:lang w:val="en-US" w:eastAsia="zh-CN"/>
        </w:rPr>
        <w:t>工程设计费综合包干价均不得高于</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人设置的最高限价，否则作否决</w:t>
      </w:r>
      <w:r>
        <w:rPr>
          <w:rFonts w:hint="eastAsia" w:ascii="宋体" w:hAnsi="宋体" w:cs="Times New Roman"/>
          <w:color w:val="000000"/>
          <w:szCs w:val="21"/>
          <w:highlight w:val="none"/>
          <w:lang w:val="en-US" w:eastAsia="zh-CN"/>
        </w:rPr>
        <w:t>参选</w:t>
      </w:r>
      <w:r>
        <w:rPr>
          <w:rFonts w:hint="default" w:ascii="宋体" w:hAnsi="宋体" w:cs="Times New Roman"/>
          <w:color w:val="000000"/>
          <w:szCs w:val="21"/>
          <w:highlight w:val="none"/>
          <w:lang w:val="en-US" w:eastAsia="zh-CN"/>
        </w:rPr>
        <w:t>处理。</w:t>
      </w:r>
    </w:p>
    <w:p w14:paraId="6A25D324">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3.1.4工程费最高限价</w:t>
      </w:r>
    </w:p>
    <w:p w14:paraId="25679AD8">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color w:val="000000"/>
          <w:szCs w:val="21"/>
          <w:highlight w:val="none"/>
          <w:lang w:val="en-US" w:eastAsia="zh-CN"/>
        </w:rPr>
      </w:pPr>
      <w:r>
        <w:rPr>
          <w:rFonts w:ascii="宋体" w:hAnsi="宋体" w:cs="Times New Roman"/>
          <w:color w:val="000000"/>
          <w:szCs w:val="21"/>
          <w:highlight w:val="none"/>
          <w:lang w:val="en-US" w:eastAsia="zh-CN"/>
        </w:rPr>
        <w:t>工程费</w:t>
      </w:r>
      <w:r>
        <w:rPr>
          <w:rFonts w:hint="eastAsia" w:ascii="宋体" w:hAnsi="宋体" w:cs="Times New Roman"/>
          <w:color w:val="000000"/>
          <w:szCs w:val="21"/>
          <w:highlight w:val="none"/>
          <w:lang w:val="en-US" w:eastAsia="zh-CN"/>
        </w:rPr>
        <w:t>参选</w:t>
      </w:r>
      <w:r>
        <w:rPr>
          <w:rFonts w:ascii="宋体" w:hAnsi="宋体" w:cs="Times New Roman"/>
          <w:color w:val="000000"/>
          <w:szCs w:val="21"/>
          <w:highlight w:val="none"/>
          <w:lang w:val="en-US" w:eastAsia="zh-CN"/>
        </w:rPr>
        <w:t>报价包括完成</w:t>
      </w:r>
      <w:r>
        <w:rPr>
          <w:rFonts w:hint="eastAsia" w:ascii="宋体" w:hAnsi="宋体" w:cs="Times New Roman"/>
          <w:color w:val="000000"/>
          <w:szCs w:val="21"/>
          <w:highlight w:val="none"/>
          <w:lang w:val="en-US" w:eastAsia="zh-CN"/>
        </w:rPr>
        <w:t>比选</w:t>
      </w:r>
      <w:r>
        <w:rPr>
          <w:rFonts w:ascii="宋体" w:hAnsi="宋体" w:cs="Times New Roman"/>
          <w:color w:val="000000"/>
          <w:szCs w:val="21"/>
          <w:highlight w:val="none"/>
          <w:lang w:val="en-US" w:eastAsia="zh-CN"/>
        </w:rPr>
        <w:t>范围内工程项目的</w:t>
      </w:r>
      <w:r>
        <w:rPr>
          <w:rFonts w:hint="default" w:ascii="宋体" w:hAnsi="宋体" w:cs="Times New Roman"/>
          <w:color w:val="000000"/>
          <w:szCs w:val="21"/>
          <w:highlight w:val="none"/>
          <w:lang w:val="en-US" w:eastAsia="zh-CN"/>
        </w:rPr>
        <w:t>人工费、建筑设备材料费、施工机具使用费、企业管理费、利润、一般风险费、措施项目费（含临时设施费、系统集成费、安全文明施工费）、其他项目费、规费、税金、二次及多次转运费、风险费、缺陷修复费、配合费及其他施工保险费、软件开发（或购买）费及升级费用、调试费、</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文件及合同约定的相关费用、政策性文件规定费用、承包合同中约定的各项手续费、临时用地费及其它费用等所有费用，以及承包合同明示或暗示的所有责任、义务和风险等所有费用。</w:t>
      </w:r>
    </w:p>
    <w:p w14:paraId="11F12131">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参选人应根据计价原则，结合项目情况、自身实力、市场行情自行填报工程固定费率，本项目造价税前总造价下浮（下浮率=1-工程固定费率，其中认质核价部分、安全文明施工费、规费、单独另有约定的项目不下浮），安装工程固定费率中选后不再调整。</w:t>
      </w:r>
    </w:p>
    <w:p w14:paraId="0DFBBFBF">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人对工程费报价设置</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控制价，即设置最高工程费固定费率，</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人工程费固定费率（工程费固定费率报价以百分号为单位，百分号前保留两位小数，第三位四舍五入，不足两位的按实</w:t>
      </w:r>
      <w:r>
        <w:rPr>
          <w:rFonts w:hint="eastAsia" w:ascii="宋体" w:hAnsi="宋体" w:cs="Times New Roman"/>
          <w:color w:val="000000"/>
          <w:szCs w:val="21"/>
          <w:highlight w:val="none"/>
          <w:lang w:val="en-US" w:eastAsia="zh-CN"/>
        </w:rPr>
        <w:t>际位数保留）</w:t>
      </w:r>
      <w:r>
        <w:rPr>
          <w:rFonts w:hint="eastAsia" w:ascii="宋体" w:hAnsi="宋体" w:eastAsia="宋体" w:cs="宋体"/>
          <w:color w:val="000000"/>
          <w:kern w:val="0"/>
          <w:sz w:val="21"/>
          <w:szCs w:val="21"/>
          <w:highlight w:val="none"/>
          <w:lang w:val="en-US" w:eastAsia="zh-CN" w:bidi="ar"/>
        </w:rPr>
        <w:t>不得高于</w:t>
      </w:r>
      <w:r>
        <w:rPr>
          <w:rFonts w:hint="eastAsia" w:ascii="宋体" w:hAnsi="宋体" w:cs="宋体"/>
          <w:color w:val="000000"/>
          <w:kern w:val="0"/>
          <w:sz w:val="21"/>
          <w:szCs w:val="21"/>
          <w:highlight w:val="none"/>
          <w:u w:val="single"/>
          <w:lang w:val="en-US" w:eastAsia="zh-CN" w:bidi="ar"/>
        </w:rPr>
        <w:t>92</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，否则参选文件将被否决。</w:t>
      </w:r>
    </w:p>
    <w:p w14:paraId="0DEFCDE0">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3.1.5工程费计价原则</w:t>
      </w:r>
    </w:p>
    <w:p w14:paraId="3ECC96F8">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（1）使用国有资金投资的建设工程发承包，必须采用工程量清</w:t>
      </w:r>
      <w:r>
        <w:rPr>
          <w:rFonts w:hint="default" w:ascii="宋体" w:hAnsi="宋体" w:cs="Times New Roman"/>
          <w:color w:val="000000"/>
          <w:szCs w:val="21"/>
          <w:highlight w:val="none"/>
          <w:lang w:val="en-US" w:eastAsia="zh-CN"/>
        </w:rPr>
        <w:t xml:space="preserve">单计价。工程量清单应采用综合单价计价。 </w:t>
      </w:r>
    </w:p>
    <w:p w14:paraId="58851C3E">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cs="Times New Roman"/>
          <w:color w:val="000000"/>
          <w:szCs w:val="21"/>
          <w:highlight w:val="none"/>
          <w:lang w:val="en-US" w:eastAsia="zh-CN"/>
        </w:rPr>
        <w:t>（2）以《重庆市城</w:t>
      </w:r>
      <w:r>
        <w:rPr>
          <w:rFonts w:hint="eastAsia" w:ascii="宋体" w:hAnsi="宋体" w:eastAsia="宋体" w:cs="宋体"/>
          <w:color w:val="000000"/>
          <w:kern w:val="0"/>
          <w:sz w:val="21"/>
          <w:szCs w:val="21"/>
          <w:highlight w:val="none"/>
          <w:lang w:val="en-US" w:eastAsia="zh-CN" w:bidi="ar"/>
        </w:rPr>
        <w:t xml:space="preserve">乡建设委员会关于建筑业营业税改征增值税调整建设工程计价依据的通知》（渝建（2016）35 号）、《重庆市住房和城乡建设委员会关于适用增值税新税率调整建设工程计价依据的通知》渝建（2019）143 号）、《重庆市建设工程工程量计算规则》 </w:t>
      </w:r>
    </w:p>
    <w:p w14:paraId="4CE149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（CQJLG-2013）、《建设工程工程量清单计价规范》（GB50500-2013）、《重庆市建设工程工程量清单计价规则》（CQQDGZ-2013）、《重庆市建设工程工程量清单计价编制指南》（2013）、《重庆市建设工程费用定额》 CQFYDE-2018 ）、《重庆市建筑工程计价定额》 （CQJZDE-2018）、《重庆市安装工程计价定额》（CQAZDE-2018）、 《重庆市</w:t>
      </w:r>
      <w:r>
        <w:rPr>
          <w:rFonts w:hint="default" w:ascii="宋体" w:hAnsi="宋体" w:eastAsia="宋体" w:cs="宋体"/>
          <w:color w:val="000000"/>
          <w:kern w:val="0"/>
          <w:sz w:val="21"/>
          <w:szCs w:val="21"/>
          <w:highlight w:val="none"/>
          <w:lang w:val="en-US" w:eastAsia="zh-CN" w:bidi="ar"/>
        </w:rPr>
        <w:t>装饰工程</w:t>
      </w:r>
      <w:r>
        <w:rPr>
          <w:rFonts w:hint="eastAsia" w:ascii="宋体" w:hAnsi="宋体" w:eastAsia="宋体" w:cs="宋体"/>
          <w:color w:val="000000"/>
          <w:kern w:val="0"/>
          <w:sz w:val="21"/>
          <w:szCs w:val="21"/>
          <w:highlight w:val="none"/>
          <w:lang w:val="en-US" w:eastAsia="zh-CN" w:bidi="ar"/>
        </w:rPr>
        <w:t>计价定额》（CQZSDE-2018）、《重庆市市政工程计价定额》（CQSZDE-2018）、《混凝土及砂浆配合比表、施工机械台班定额》（CQPSDE-2018）、《重庆建筑工程施工仪器仪表台班定额》（CQYQYBDE-2018）《重庆市建设工程造价管理总站关于颁发2018年重庆市建设工程计价定额综合解释的通知》（渝建价发〔2019〕16号）等及相关配套文件为依据，自行编制预算、工程量清单及清单组价并报比选人审核。完工验收前因调试、试运行等产生的电费由参选人自理。</w:t>
      </w:r>
    </w:p>
    <w:p w14:paraId="71C395B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（3）人工单价的确定原则 </w:t>
      </w:r>
    </w:p>
    <w:p w14:paraId="5E1BB4E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按重庆市建设工程造价总站主办且配套2018定额使用的2026年第一季《重庆工程造价</w:t>
      </w:r>
      <w:r>
        <w:rPr>
          <w:rFonts w:hint="eastAsia" w:ascii="宋体" w:hAnsi="宋体" w:cs="宋体"/>
          <w:color w:val="000000"/>
          <w:kern w:val="0"/>
          <w:sz w:val="21"/>
          <w:szCs w:val="21"/>
          <w:highlight w:val="none"/>
          <w:lang w:val="en-US" w:eastAsia="zh-CN" w:bidi="ar"/>
        </w:rPr>
        <w:t>信息</w:t>
      </w:r>
      <w:r>
        <w:rPr>
          <w:rFonts w:hint="eastAsia" w:ascii="宋体" w:hAnsi="宋体" w:eastAsia="宋体" w:cs="宋体"/>
          <w:color w:val="000000"/>
          <w:kern w:val="0"/>
          <w:sz w:val="21"/>
          <w:szCs w:val="21"/>
          <w:highlight w:val="none"/>
          <w:lang w:val="en-US" w:eastAsia="zh-CN" w:bidi="ar"/>
        </w:rPr>
        <w:t>》发布的人工信息价执行。</w:t>
      </w:r>
    </w:p>
    <w:p w14:paraId="286AE29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（4）材料和设备 </w:t>
      </w:r>
    </w:p>
    <w:p w14:paraId="164DB38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default" w:ascii="瀹嬩綋" w:hAnsi="瀹嬩綋" w:eastAsia="瀹嬩綋" w:cs="瀹嬩綋"/>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 xml:space="preserve">按重庆市建设工程造价总站主办且配套2018定额使用的2026年第四期《重庆工程造价信息》发布的信息价执行，不执行厂商信息价。 </w:t>
      </w:r>
    </w:p>
    <w:p w14:paraId="76CE5CA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ascii="瀹嬩綋" w:hAnsi="瀹嬩綋" w:eastAsia="瀹嬩綋" w:cs="瀹嬩綋"/>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重庆工程造价信息》无相应指导价的材料和设备价格确定方法：由比选人组织中选人、监理单位、造价咨询单位等人员共同进行市场询价后综合考虑确定，最终以比选人认质核价为准。比选人审批的材料和设备价格，中选人不予认可的，中选人无条件接受该部分材料和设备改为甲供，同时对中选人处以该部分材料和设备价格10%的违约金。并不就此收取采保费、下车费，由此造成项目工期延误和其它损失的由中选人承担。本工程所需的材料和设备，应在采购前十日内将拟采购材料和设备的厂家、技术参数、品牌、质量等级等指标以书面形式告知比选人，比选人收到中选人的书面报告后十五日内予以确认，经招标人认质、封样（如有必要）后中选人方</w:t>
      </w:r>
      <w:r>
        <w:rPr>
          <w:rFonts w:hint="default" w:ascii="宋体" w:hAnsi="宋体" w:eastAsia="宋体" w:cs="宋体"/>
          <w:color w:val="000000"/>
          <w:kern w:val="0"/>
          <w:sz w:val="21"/>
          <w:szCs w:val="21"/>
          <w:highlight w:val="none"/>
          <w:lang w:val="en-US" w:eastAsia="zh-CN" w:bidi="ar"/>
        </w:rPr>
        <w:t>可采购进场。在材料和设备采购过程中</w:t>
      </w:r>
      <w:r>
        <w:rPr>
          <w:rFonts w:hint="eastAsia" w:ascii="宋体" w:hAnsi="宋体" w:eastAsia="宋体" w:cs="宋体"/>
          <w:color w:val="000000"/>
          <w:kern w:val="0"/>
          <w:sz w:val="21"/>
          <w:szCs w:val="21"/>
          <w:highlight w:val="none"/>
          <w:lang w:val="en-US" w:eastAsia="zh-CN" w:bidi="ar"/>
        </w:rPr>
        <w:t>比选</w:t>
      </w:r>
      <w:r>
        <w:rPr>
          <w:rFonts w:hint="default" w:ascii="宋体" w:hAnsi="宋体" w:eastAsia="宋体" w:cs="宋体"/>
          <w:color w:val="000000"/>
          <w:kern w:val="0"/>
          <w:sz w:val="21"/>
          <w:szCs w:val="21"/>
          <w:highlight w:val="none"/>
          <w:lang w:val="en-US" w:eastAsia="zh-CN" w:bidi="ar"/>
        </w:rPr>
        <w:t>人发现中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人所采购材料和设备不符合质量要求或者与采购前申报的品牌不符，要求中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人更换中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人不予更换的，中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人无条件接受该部分材料和设备改为甲供，同时处以该部分</w:t>
      </w:r>
      <w:r>
        <w:rPr>
          <w:rFonts w:hint="eastAsia" w:ascii="宋体" w:hAnsi="宋体" w:eastAsia="宋体" w:cs="宋体"/>
          <w:color w:val="000000"/>
          <w:kern w:val="0"/>
          <w:sz w:val="21"/>
          <w:szCs w:val="21"/>
          <w:highlight w:val="none"/>
          <w:lang w:val="en-US" w:eastAsia="zh-CN" w:bidi="ar"/>
        </w:rPr>
        <w:t>比选人</w:t>
      </w:r>
      <w:r>
        <w:rPr>
          <w:rFonts w:hint="default" w:ascii="宋体" w:hAnsi="宋体" w:eastAsia="宋体" w:cs="宋体"/>
          <w:color w:val="000000"/>
          <w:kern w:val="0"/>
          <w:sz w:val="21"/>
          <w:szCs w:val="21"/>
          <w:highlight w:val="none"/>
          <w:lang w:val="en-US" w:eastAsia="zh-CN" w:bidi="ar"/>
        </w:rPr>
        <w:t xml:space="preserve">采购价款总价 </w:t>
      </w:r>
      <w:r>
        <w:rPr>
          <w:rFonts w:hint="eastAsia" w:ascii="宋体" w:hAnsi="宋体" w:eastAsia="宋体" w:cs="宋体"/>
          <w:color w:val="000000"/>
          <w:kern w:val="0"/>
          <w:sz w:val="21"/>
          <w:szCs w:val="21"/>
          <w:highlight w:val="none"/>
          <w:lang w:val="en-US" w:eastAsia="zh-CN" w:bidi="ar"/>
        </w:rPr>
        <w:t>20%</w:t>
      </w:r>
      <w:r>
        <w:rPr>
          <w:rFonts w:hint="default" w:ascii="宋体" w:hAnsi="宋体" w:eastAsia="宋体" w:cs="宋体"/>
          <w:color w:val="000000"/>
          <w:kern w:val="0"/>
          <w:sz w:val="21"/>
          <w:szCs w:val="21"/>
          <w:highlight w:val="none"/>
          <w:lang w:val="en-US" w:eastAsia="zh-CN" w:bidi="ar"/>
        </w:rPr>
        <w:t>的罚款。并不就此收取采保费、下车费，由此造成项目工期延误和其它损失的由中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 xml:space="preserve">人承担。 </w:t>
      </w:r>
    </w:p>
    <w:p w14:paraId="3F9E3FC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瀹嬩綋" w:hAnsi="瀹嬩綋" w:eastAsia="瀹嬩綋" w:cs="瀹嬩綋"/>
          <w:color w:val="000000"/>
          <w:kern w:val="0"/>
          <w:sz w:val="21"/>
          <w:szCs w:val="21"/>
          <w:highlight w:val="none"/>
          <w:lang w:val="en-US" w:eastAsia="zh-CN" w:bidi="ar"/>
        </w:rPr>
        <w:t>③</w:t>
      </w:r>
      <w:r>
        <w:rPr>
          <w:rFonts w:hint="eastAsia" w:ascii="宋体" w:hAnsi="宋体" w:eastAsia="宋体" w:cs="宋体"/>
          <w:color w:val="000000"/>
          <w:kern w:val="0"/>
          <w:sz w:val="21"/>
          <w:szCs w:val="21"/>
          <w:highlight w:val="none"/>
          <w:lang w:val="en-US" w:eastAsia="zh-CN" w:bidi="ar"/>
        </w:rPr>
        <w:t>人工费价差调整办法：</w:t>
      </w:r>
      <w:r>
        <w:rPr>
          <w:rFonts w:hint="eastAsia" w:ascii="宋体" w:hAnsi="宋体" w:eastAsia="宋体" w:cs="宋体"/>
          <w:color w:val="000000"/>
          <w:kern w:val="0"/>
          <w:sz w:val="21"/>
          <w:szCs w:val="21"/>
          <w:highlight w:val="none"/>
          <w:u w:val="single"/>
          <w:lang w:val="en-US" w:eastAsia="zh-CN" w:bidi="ar"/>
        </w:rPr>
        <w:t xml:space="preserve">不调差 </w:t>
      </w:r>
    </w:p>
    <w:p w14:paraId="21698AA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（5）措施费计价原则：按《重庆市建设工程费用定额》（CQFYDE-2018）及相关文件规定执行。 </w:t>
      </w:r>
    </w:p>
    <w:p w14:paraId="24F4342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（6）安全文明施工费： </w:t>
      </w:r>
    </w:p>
    <w:p w14:paraId="0D5EC27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default" w:ascii="瀹嬩綋" w:hAnsi="瀹嬩綋" w:eastAsia="瀹嬩綋" w:cs="瀹嬩綋"/>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根据《重庆城乡建设委员会关于印《重庆市建设工程安全文明施工费计取及使用管理规定(2024版)》(渝建管〔2024〕38号〕文件规定，安全文明施工费由安全施工费、文明施工费、环境保护费及临时设施费组成。</w:t>
      </w:r>
    </w:p>
    <w:p w14:paraId="44AE594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ascii="瀹嬩綋" w:hAnsi="瀹嬩綋" w:eastAsia="瀹嬩綋" w:cs="瀹嬩綋"/>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本工程安全文明施工费根据《建设工程工程量清单计价规范》（GB50500-2013）、《重庆市建设工程工程量清单计价规则》（CQJJGZ-2013）、《重庆城乡建设委员会关于印《重庆市建设工程安全文明施工费计取及使用管理规定(2024版)》(渝建管〔2024〕38号〕、《重庆市住房和城乡建设委员会关于调整建设施工现场形象品质提升安全文明施工费计取的通知》（渝建管〔2020〕97 号）、《重庆市建设工程费用定额》（CQFYDE-2018）、《重庆市城乡建设委员会关于适用增值税新税率调整建设工程计价依据的通知》（渝建〔2019〕143 号）的相关规定和费用标准单列计算。</w:t>
      </w:r>
    </w:p>
    <w:p w14:paraId="7906AC6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（7）本项目所采用技术、工艺和产品等必须执行重庆市住房和城乡建设委员会关于发布《重庆市建设领域禁止、限制使用落后技术通告（2019 年版）（渝建发〔2019〕25 号）的规定。 </w:t>
      </w:r>
    </w:p>
    <w:p w14:paraId="4C4E719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瀹嬩綋" w:hAnsi="瀹嬩綋" w:eastAsia="瀹嬩綋" w:cs="瀹嬩綋"/>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lang w:val="en-US" w:eastAsia="zh-CN" w:bidi="ar"/>
        </w:rPr>
        <w:t>（8）增值税计税方法由招标人依据国家税法规定选择：</w:t>
      </w:r>
      <w:r>
        <w:rPr>
          <w:rFonts w:hint="default" w:ascii="宋体" w:hAnsi="宋体" w:eastAsia="宋体" w:cs="宋体"/>
          <w:color w:val="000000"/>
          <w:kern w:val="0"/>
          <w:sz w:val="21"/>
          <w:szCs w:val="21"/>
          <w:highlight w:val="none"/>
          <w:u w:val="single"/>
          <w:lang w:val="en-US" w:eastAsia="zh-CN" w:bidi="ar"/>
        </w:rPr>
        <w:t>一般计税法</w:t>
      </w:r>
      <w:r>
        <w:rPr>
          <w:rFonts w:hint="eastAsia" w:ascii="宋体" w:hAnsi="宋体" w:eastAsia="宋体" w:cs="宋体"/>
          <w:color w:val="000000"/>
          <w:kern w:val="0"/>
          <w:sz w:val="21"/>
          <w:szCs w:val="21"/>
          <w:highlight w:val="none"/>
          <w:u w:val="single"/>
          <w:lang w:val="en-US" w:eastAsia="zh-CN" w:bidi="ar"/>
        </w:rPr>
        <w:t>。</w:t>
      </w:r>
    </w:p>
    <w:p w14:paraId="5C73F57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（9）参选人</w:t>
      </w:r>
      <w:r>
        <w:rPr>
          <w:rFonts w:hint="default" w:ascii="宋体" w:hAnsi="宋体" w:eastAsia="宋体" w:cs="宋体"/>
          <w:color w:val="000000"/>
          <w:kern w:val="0"/>
          <w:sz w:val="21"/>
          <w:szCs w:val="21"/>
          <w:highlight w:val="none"/>
          <w:lang w:val="en-US" w:eastAsia="zh-CN" w:bidi="ar"/>
        </w:rPr>
        <w:t>报工程费固定费率时，应将完成该工程发生的包括但不限于以下措施及风险费用纳入本次</w:t>
      </w:r>
      <w:r>
        <w:rPr>
          <w:rFonts w:hint="eastAsia" w:ascii="宋体" w:hAnsi="宋体" w:eastAsia="宋体" w:cs="宋体"/>
          <w:color w:val="000000"/>
          <w:kern w:val="0"/>
          <w:sz w:val="21"/>
          <w:szCs w:val="21"/>
          <w:highlight w:val="none"/>
          <w:lang w:val="en-US" w:eastAsia="zh-CN" w:bidi="ar"/>
        </w:rPr>
        <w:t>参选</w:t>
      </w:r>
      <w:r>
        <w:rPr>
          <w:rFonts w:hint="default" w:ascii="宋体" w:hAnsi="宋体" w:eastAsia="宋体" w:cs="宋体"/>
          <w:color w:val="000000"/>
          <w:kern w:val="0"/>
          <w:sz w:val="21"/>
          <w:szCs w:val="21"/>
          <w:highlight w:val="none"/>
          <w:lang w:val="en-US" w:eastAsia="zh-CN" w:bidi="ar"/>
        </w:rPr>
        <w:t xml:space="preserve">报价内，清单预算编制及结算时不再单独计量计价： </w:t>
      </w:r>
    </w:p>
    <w:p w14:paraId="0FBAA29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①本工程位于风景旅游区，因旅游限制、旅游管控、旅游检查、旅游人流量多等需采取各种安全、文明措施、管控措施或因上述原因</w:t>
      </w:r>
      <w:r>
        <w:rPr>
          <w:rFonts w:hint="eastAsia" w:ascii="宋体" w:hAnsi="宋体" w:eastAsia="宋体" w:cs="宋体"/>
          <w:color w:val="000000"/>
          <w:kern w:val="0"/>
          <w:sz w:val="21"/>
          <w:szCs w:val="21"/>
          <w:highlight w:val="none"/>
          <w:lang w:val="en-US" w:eastAsia="zh-CN" w:bidi="ar"/>
        </w:rPr>
        <w:t>引起的后续赶工措施等所发生的费用。</w:t>
      </w:r>
    </w:p>
    <w:p w14:paraId="75D0080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②参选人必须仔细勘察施工现场，自行考虑材料、建筑垃圾和各</w:t>
      </w:r>
      <w:r>
        <w:rPr>
          <w:rFonts w:hint="default" w:ascii="宋体" w:hAnsi="宋体" w:eastAsia="宋体" w:cs="宋体"/>
          <w:color w:val="000000"/>
          <w:kern w:val="0"/>
          <w:sz w:val="21"/>
          <w:szCs w:val="21"/>
          <w:highlight w:val="none"/>
          <w:lang w:val="en-US" w:eastAsia="zh-CN" w:bidi="ar"/>
        </w:rPr>
        <w:t xml:space="preserve">类机械设备等的二次及多次运转以及因转运需要修建的临时道路所发生的费用； </w:t>
      </w:r>
    </w:p>
    <w:p w14:paraId="3D95060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③</w:t>
      </w:r>
      <w:r>
        <w:rPr>
          <w:rFonts w:hint="default" w:ascii="宋体" w:hAnsi="宋体" w:eastAsia="宋体" w:cs="宋体"/>
          <w:color w:val="000000"/>
          <w:kern w:val="0"/>
          <w:sz w:val="21"/>
          <w:szCs w:val="21"/>
          <w:highlight w:val="none"/>
          <w:lang w:val="en-US" w:eastAsia="zh-CN" w:bidi="ar"/>
        </w:rPr>
        <w:t>工程所需要的临时设施用地手续的办理费用、工程范围内所有项目完工后的拆走、清理、清洁（初次开荒）、平整以及除渣（包括场内外运输以及渣场）的费用、按照相关单位有关现场安全文明、环境保护、消防等管理要求需由</w:t>
      </w:r>
      <w:r>
        <w:rPr>
          <w:rFonts w:hint="eastAsia" w:ascii="宋体" w:hAnsi="宋体" w:eastAsia="宋体" w:cs="宋体"/>
          <w:color w:val="000000"/>
          <w:kern w:val="0"/>
          <w:sz w:val="21"/>
          <w:szCs w:val="21"/>
          <w:highlight w:val="none"/>
          <w:lang w:val="en-US" w:eastAsia="zh-CN" w:bidi="ar"/>
        </w:rPr>
        <w:t>参选</w:t>
      </w:r>
      <w:r>
        <w:rPr>
          <w:rFonts w:hint="default" w:ascii="宋体" w:hAnsi="宋体" w:eastAsia="宋体" w:cs="宋体"/>
          <w:color w:val="000000"/>
          <w:kern w:val="0"/>
          <w:sz w:val="21"/>
          <w:szCs w:val="21"/>
          <w:highlight w:val="none"/>
          <w:lang w:val="en-US" w:eastAsia="zh-CN" w:bidi="ar"/>
        </w:rPr>
        <w:t xml:space="preserve">方自行设置的现场标识、安全标示、 </w:t>
      </w:r>
    </w:p>
    <w:p w14:paraId="734F82A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 xml:space="preserve">工器具等费用； </w:t>
      </w:r>
    </w:p>
    <w:p w14:paraId="612D66C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④</w:t>
      </w:r>
      <w:r>
        <w:rPr>
          <w:rFonts w:hint="default" w:ascii="宋体" w:hAnsi="宋体" w:eastAsia="宋体" w:cs="宋体"/>
          <w:color w:val="000000"/>
          <w:kern w:val="0"/>
          <w:sz w:val="21"/>
          <w:szCs w:val="21"/>
          <w:highlight w:val="none"/>
          <w:lang w:val="en-US" w:eastAsia="zh-CN" w:bidi="ar"/>
        </w:rPr>
        <w:t>反季节栽植措施、高温补贴和迎接各类检查发生的费用</w:t>
      </w:r>
      <w:r>
        <w:rPr>
          <w:rFonts w:hint="eastAsia" w:ascii="宋体" w:hAnsi="宋体" w:eastAsia="宋体" w:cs="宋体"/>
          <w:color w:val="000000"/>
          <w:kern w:val="0"/>
          <w:sz w:val="21"/>
          <w:szCs w:val="21"/>
          <w:highlight w:val="none"/>
          <w:lang w:val="en-US" w:eastAsia="zh-CN" w:bidi="ar"/>
        </w:rPr>
        <w:t>；</w:t>
      </w:r>
    </w:p>
    <w:p w14:paraId="5D232E5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⑤除拆除工程外参选人应充分考虑弃渣的所有费用（包含但不限</w:t>
      </w:r>
      <w:r>
        <w:rPr>
          <w:rFonts w:hint="default" w:ascii="宋体" w:hAnsi="宋体" w:eastAsia="宋体" w:cs="宋体"/>
          <w:color w:val="000000"/>
          <w:kern w:val="0"/>
          <w:sz w:val="21"/>
          <w:szCs w:val="21"/>
          <w:highlight w:val="none"/>
          <w:lang w:val="en-US" w:eastAsia="zh-CN" w:bidi="ar"/>
        </w:rPr>
        <w:t xml:space="preserve">于如渣场的确定、堆放、平整、安全、稳定、管理、租借等）； </w:t>
      </w:r>
    </w:p>
    <w:p w14:paraId="56BF440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⑥</w:t>
      </w:r>
      <w:r>
        <w:rPr>
          <w:rFonts w:hint="default" w:ascii="宋体" w:hAnsi="宋体" w:eastAsia="宋体" w:cs="宋体"/>
          <w:color w:val="000000"/>
          <w:kern w:val="0"/>
          <w:sz w:val="21"/>
          <w:szCs w:val="21"/>
          <w:highlight w:val="none"/>
          <w:lang w:val="en-US" w:eastAsia="zh-CN" w:bidi="ar"/>
        </w:rPr>
        <w:t>交通组织措施费用应包含</w:t>
      </w:r>
      <w:r>
        <w:rPr>
          <w:rFonts w:hint="eastAsia" w:ascii="宋体" w:hAnsi="宋体" w:cs="宋体"/>
          <w:color w:val="000000"/>
          <w:kern w:val="0"/>
          <w:sz w:val="21"/>
          <w:szCs w:val="21"/>
          <w:highlight w:val="none"/>
          <w:lang w:val="en-US" w:eastAsia="zh-CN" w:bidi="ar"/>
        </w:rPr>
        <w:t>交通组织方案的编审费用、</w:t>
      </w:r>
      <w:r>
        <w:rPr>
          <w:rFonts w:hint="default" w:ascii="宋体" w:hAnsi="宋体" w:eastAsia="宋体" w:cs="宋体"/>
          <w:color w:val="000000"/>
          <w:kern w:val="0"/>
          <w:sz w:val="21"/>
          <w:szCs w:val="21"/>
          <w:highlight w:val="none"/>
          <w:lang w:val="en-US" w:eastAsia="zh-CN" w:bidi="ar"/>
        </w:rPr>
        <w:t>开口费、恢复费、市政围挡、每个开</w:t>
      </w:r>
      <w:r>
        <w:rPr>
          <w:rFonts w:hint="eastAsia" w:ascii="宋体" w:hAnsi="宋体" w:eastAsia="宋体" w:cs="宋体"/>
          <w:color w:val="000000"/>
          <w:kern w:val="0"/>
          <w:sz w:val="21"/>
          <w:szCs w:val="21"/>
          <w:highlight w:val="none"/>
          <w:lang w:val="en-US" w:eastAsia="zh-CN" w:bidi="ar"/>
        </w:rPr>
        <w:t>口需配置</w:t>
      </w:r>
      <w:r>
        <w:rPr>
          <w:rFonts w:hint="eastAsia" w:ascii="宋体" w:hAnsi="宋体" w:cs="宋体"/>
          <w:color w:val="000000"/>
          <w:kern w:val="0"/>
          <w:sz w:val="21"/>
          <w:szCs w:val="21"/>
          <w:highlight w:val="none"/>
          <w:lang w:val="en-US" w:eastAsia="zh-CN" w:bidi="ar"/>
        </w:rPr>
        <w:t>满足方案要求的相关数量</w:t>
      </w:r>
      <w:r>
        <w:rPr>
          <w:rFonts w:hint="eastAsia" w:ascii="宋体" w:hAnsi="宋体" w:eastAsia="宋体" w:cs="宋体"/>
          <w:color w:val="000000"/>
          <w:kern w:val="0"/>
          <w:sz w:val="21"/>
          <w:szCs w:val="21"/>
          <w:highlight w:val="none"/>
          <w:lang w:val="en-US" w:eastAsia="zh-CN" w:bidi="ar"/>
        </w:rPr>
        <w:t>人员等</w:t>
      </w:r>
      <w:r>
        <w:rPr>
          <w:rFonts w:hint="eastAsia" w:ascii="宋体" w:hAnsi="宋体" w:cs="宋体"/>
          <w:color w:val="000000"/>
          <w:kern w:val="0"/>
          <w:sz w:val="21"/>
          <w:szCs w:val="21"/>
          <w:highlight w:val="none"/>
          <w:lang w:val="en-US" w:eastAsia="zh-CN" w:bidi="ar"/>
        </w:rPr>
        <w:t>所有</w:t>
      </w:r>
      <w:r>
        <w:rPr>
          <w:rFonts w:hint="eastAsia" w:ascii="宋体" w:hAnsi="宋体" w:eastAsia="宋体" w:cs="宋体"/>
          <w:color w:val="000000"/>
          <w:kern w:val="0"/>
          <w:sz w:val="21"/>
          <w:szCs w:val="21"/>
          <w:highlight w:val="none"/>
          <w:lang w:val="en-US" w:eastAsia="zh-CN" w:bidi="ar"/>
        </w:rPr>
        <w:t>措施</w:t>
      </w:r>
      <w:r>
        <w:rPr>
          <w:rFonts w:hint="eastAsia" w:ascii="宋体" w:hAnsi="宋体" w:cs="宋体"/>
          <w:color w:val="000000"/>
          <w:kern w:val="0"/>
          <w:sz w:val="21"/>
          <w:szCs w:val="21"/>
          <w:highlight w:val="none"/>
          <w:lang w:val="en-US" w:eastAsia="zh-CN" w:bidi="ar"/>
        </w:rPr>
        <w:t>费用</w:t>
      </w:r>
      <w:r>
        <w:rPr>
          <w:rFonts w:hint="eastAsia" w:ascii="宋体" w:hAnsi="宋体" w:eastAsia="宋体" w:cs="宋体"/>
          <w:color w:val="000000"/>
          <w:kern w:val="0"/>
          <w:sz w:val="21"/>
          <w:szCs w:val="21"/>
          <w:highlight w:val="none"/>
          <w:lang w:val="en-US" w:eastAsia="zh-CN" w:bidi="ar"/>
        </w:rPr>
        <w:t xml:space="preserve">。交通组织措施费包含在施工技术措施项目清单中，纳入本次参选报价； </w:t>
      </w:r>
    </w:p>
    <w:p w14:paraId="11141AC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⑦</w:t>
      </w:r>
      <w:r>
        <w:rPr>
          <w:rFonts w:hint="default" w:ascii="宋体" w:hAnsi="宋体" w:eastAsia="宋体" w:cs="宋体"/>
          <w:color w:val="000000"/>
          <w:kern w:val="0"/>
          <w:sz w:val="21"/>
          <w:szCs w:val="21"/>
          <w:highlight w:val="none"/>
          <w:lang w:val="en-US" w:eastAsia="zh-CN" w:bidi="ar"/>
        </w:rPr>
        <w:t>环保部门应收取的工程排污费、土石方和建渣市政上路费由</w:t>
      </w:r>
      <w:r>
        <w:rPr>
          <w:rFonts w:hint="eastAsia" w:ascii="宋体" w:hAnsi="宋体" w:eastAsia="宋体" w:cs="宋体"/>
          <w:color w:val="000000"/>
          <w:kern w:val="0"/>
          <w:sz w:val="21"/>
          <w:szCs w:val="21"/>
          <w:highlight w:val="none"/>
          <w:lang w:val="en-US" w:eastAsia="zh-CN" w:bidi="ar"/>
        </w:rPr>
        <w:t>参选人</w:t>
      </w:r>
      <w:r>
        <w:rPr>
          <w:rFonts w:hint="default" w:ascii="宋体" w:hAnsi="宋体" w:eastAsia="宋体" w:cs="宋体"/>
          <w:color w:val="000000"/>
          <w:kern w:val="0"/>
          <w:sz w:val="21"/>
          <w:szCs w:val="21"/>
          <w:highlight w:val="none"/>
          <w:lang w:val="en-US" w:eastAsia="zh-CN" w:bidi="ar"/>
        </w:rPr>
        <w:t>自行测算并按现行收费标准缴纳，</w:t>
      </w:r>
      <w:r>
        <w:rPr>
          <w:rFonts w:hint="eastAsia" w:ascii="宋体" w:hAnsi="宋体" w:eastAsia="宋体" w:cs="宋体"/>
          <w:color w:val="000000"/>
          <w:kern w:val="0"/>
          <w:sz w:val="21"/>
          <w:szCs w:val="21"/>
          <w:highlight w:val="none"/>
          <w:lang w:val="en-US" w:eastAsia="zh-CN" w:bidi="ar"/>
        </w:rPr>
        <w:t>参选人</w:t>
      </w:r>
      <w:r>
        <w:rPr>
          <w:rFonts w:hint="default" w:ascii="宋体" w:hAnsi="宋体" w:eastAsia="宋体" w:cs="宋体"/>
          <w:color w:val="000000"/>
          <w:kern w:val="0"/>
          <w:sz w:val="21"/>
          <w:szCs w:val="21"/>
          <w:highlight w:val="none"/>
          <w:lang w:val="en-US" w:eastAsia="zh-CN" w:bidi="ar"/>
        </w:rPr>
        <w:t>投标时，将此费用综合考虑在投标报价内</w:t>
      </w:r>
      <w:r>
        <w:rPr>
          <w:rFonts w:hint="eastAsia" w:ascii="宋体" w:hAnsi="宋体" w:eastAsia="宋体" w:cs="宋体"/>
          <w:color w:val="000000"/>
          <w:kern w:val="0"/>
          <w:sz w:val="21"/>
          <w:szCs w:val="21"/>
          <w:highlight w:val="none"/>
          <w:lang w:val="en-US" w:eastAsia="zh-CN" w:bidi="ar"/>
        </w:rPr>
        <w:t>。</w:t>
      </w:r>
    </w:p>
    <w:p w14:paraId="2810EBE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10）中选人应根据前述报价原则和计价原则编制工程量清单并进行清单组价（清单组价应按中标下浮比例（中选下浮比例=1-工程费固定费率）下浮）并向比选人申报，由比选人委托第三方咨询机构进行审查，审定的工程量清单及其综合单价作为进度款支付及结算依据，结算时工程量据实结算。</w:t>
      </w:r>
    </w:p>
    <w:p w14:paraId="7E55379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highlight w:val="none"/>
        </w:rPr>
      </w:pPr>
      <w:r>
        <w:rPr>
          <w:rFonts w:hint="eastAsia" w:ascii="宋体" w:hAnsi="宋体" w:eastAsia="宋体" w:cs="宋体"/>
          <w:b w:val="0"/>
          <w:bCs w:val="0"/>
          <w:color w:val="000000"/>
          <w:kern w:val="0"/>
          <w:sz w:val="21"/>
          <w:szCs w:val="21"/>
          <w:highlight w:val="none"/>
          <w:lang w:val="en-US" w:eastAsia="zh-CN" w:bidi="ar"/>
        </w:rPr>
        <w:t xml:space="preserve">3.1.6结算原则 </w:t>
      </w:r>
    </w:p>
    <w:p w14:paraId="7748702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合同结算价=全费用</w:t>
      </w:r>
      <w:r>
        <w:rPr>
          <w:rFonts w:hint="eastAsia" w:ascii="宋体" w:hAnsi="宋体" w:cs="宋体"/>
          <w:color w:val="000000"/>
          <w:kern w:val="0"/>
          <w:sz w:val="21"/>
          <w:szCs w:val="21"/>
          <w:highlight w:val="none"/>
          <w:u w:val="single"/>
          <w:lang w:val="en-US" w:eastAsia="zh-CN" w:bidi="ar"/>
        </w:rPr>
        <w:t>安装</w:t>
      </w:r>
      <w:r>
        <w:rPr>
          <w:rFonts w:hint="eastAsia" w:ascii="宋体" w:hAnsi="宋体" w:eastAsia="宋体" w:cs="宋体"/>
          <w:color w:val="000000"/>
          <w:kern w:val="0"/>
          <w:sz w:val="21"/>
          <w:szCs w:val="21"/>
          <w:highlight w:val="none"/>
          <w:u w:val="single"/>
          <w:lang w:val="en-US" w:eastAsia="zh-CN" w:bidi="ar"/>
        </w:rPr>
        <w:t xml:space="preserve">工程设计费+工程结算价±合同约定的其他费用。合同约定的其他费用包括变更结算金额、索赔赔付金额、奖励、罚金、违约金、价差调整等。 </w:t>
      </w:r>
    </w:p>
    <w:p w14:paraId="7719673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（一）设计费结算原则 </w:t>
      </w:r>
    </w:p>
    <w:p w14:paraId="4DC2D52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设计费按照合同签订金额包干价结算。中选人提供的设计文件必须实现招标人意图，满足项目功能需求、满足国家、行业相关规范及招标人技术标准要求，因中选人自身原因造成的设计文件有缺陷，中选人应无条件修改设计及施工内容，由此增加的设计费、建安工程费及其它费用均由中选人自行承担。 </w:t>
      </w:r>
    </w:p>
    <w:p w14:paraId="732FE9F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（二）工程费结算原则 </w:t>
      </w:r>
    </w:p>
    <w:p w14:paraId="7482805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（1）施工图预算编制</w:t>
      </w:r>
    </w:p>
    <w:p w14:paraId="72051C0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选人在施工设计图纸编制完成后，应根据本比选文件中所规定的参选报价中规定的报价原则和计价原则及中标下浮比例（中选下浮比例=1-工程费固定费率）编制工程量清单并进行清单组价（清单组价应按中标下浮比例下浮）并向比选人申报（比选人审定施工设计图纸后，中选人应按审定后的图纸对工程量清单和清单组价进行调整后再次报），由比选人审查后，审定的工程量清单及其综合单价作为进度款支付及结算依据，工程量据实结算；中选</w:t>
      </w:r>
      <w:r>
        <w:rPr>
          <w:rFonts w:hint="default" w:ascii="宋体" w:hAnsi="宋体" w:eastAsia="宋体" w:cs="宋体"/>
          <w:color w:val="000000"/>
          <w:kern w:val="0"/>
          <w:sz w:val="21"/>
          <w:szCs w:val="21"/>
          <w:highlight w:val="none"/>
          <w:lang w:val="en-US" w:eastAsia="zh-CN" w:bidi="ar"/>
        </w:rPr>
        <w:t xml:space="preserve">人申报的工程量清单及其组价应真实准确，根据施工图如有漏项，视为已包含在其他清单项目中结算时不予另行计算。下浮比例为税前总造价下浮（其中认质核价部分、安全文明施工费、规费、单独另有约定的项目不下浮），工程费建安工程费固定费率固定不变，不因任何因素调整。 </w:t>
      </w:r>
    </w:p>
    <w:p w14:paraId="7A54536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（2）工程费结算</w:t>
      </w:r>
    </w:p>
    <w:p w14:paraId="43634A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特别说明：</w:t>
      </w:r>
      <w:r>
        <w:rPr>
          <w:rFonts w:hint="eastAsia" w:ascii="宋体" w:hAnsi="宋体" w:eastAsia="宋体" w:cs="宋体"/>
          <w:color w:val="000000"/>
          <w:kern w:val="0"/>
          <w:sz w:val="21"/>
          <w:szCs w:val="21"/>
          <w:highlight w:val="none"/>
          <w:u w:val="single"/>
          <w:lang w:val="en-US" w:eastAsia="zh-CN" w:bidi="ar"/>
        </w:rPr>
        <w:t>本项目工程部分采取限额结算。以</w:t>
      </w:r>
      <w:r>
        <w:rPr>
          <w:rFonts w:hint="eastAsia" w:ascii="宋体" w:hAnsi="宋体" w:cs="宋体"/>
          <w:color w:val="000000"/>
          <w:kern w:val="0"/>
          <w:sz w:val="21"/>
          <w:szCs w:val="21"/>
          <w:highlight w:val="none"/>
          <w:u w:val="single"/>
          <w:lang w:val="en-US" w:eastAsia="zh-CN" w:bidi="ar"/>
        </w:rPr>
        <w:t>1637189.49</w:t>
      </w:r>
      <w:r>
        <w:rPr>
          <w:rFonts w:hint="eastAsia" w:ascii="宋体" w:hAnsi="宋体" w:eastAsia="宋体" w:cs="宋体"/>
          <w:color w:val="000000"/>
          <w:kern w:val="0"/>
          <w:sz w:val="21"/>
          <w:szCs w:val="21"/>
          <w:highlight w:val="none"/>
          <w:u w:val="single"/>
          <w:lang w:val="en-US" w:eastAsia="zh-CN" w:bidi="ar"/>
        </w:rPr>
        <w:t xml:space="preserve">元作为结算限额，工程结算金额在结算限额内时，根据结算原则按实结算；若工程结算金额超过结算限额时，按结算限额结算。 </w:t>
      </w:r>
    </w:p>
    <w:p w14:paraId="281D0BB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u w:val="single"/>
          <w:lang w:val="en-US" w:eastAsia="zh-CN" w:bidi="ar"/>
        </w:rPr>
        <w:t>结算价=已完工合格分部分项工程量清单结算价+措施费(安全文明施工费除外)+分部分项工程量清单新增或变更等引起的增(减)子项结算价+暂列金额确定价+安全文明施工费+规费+税金，各部分的结算原则如下：</w:t>
      </w:r>
    </w:p>
    <w:p w14:paraId="673437E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1）各分部分项工程工程量清单结算价：</w:t>
      </w:r>
    </w:p>
    <w:p w14:paraId="6F341B0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191479F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子项综合单价：以比选人审核的综合单价作为结算依据。</w:t>
      </w:r>
    </w:p>
    <w:p w14:paraId="38309CC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2）材料价差的调整：本项目材料价差不调整。</w:t>
      </w:r>
    </w:p>
    <w:p w14:paraId="1F73267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3）措施费：按《重庆市建设工程费用定额》（CQFYDE-2018）及相关文件规定执行。 </w:t>
      </w:r>
    </w:p>
    <w:p w14:paraId="4D59C77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4）安全文明施工费： </w:t>
      </w:r>
    </w:p>
    <w:p w14:paraId="08D01A2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highlight w:val="none"/>
        </w:rPr>
      </w:pPr>
      <w:r>
        <w:rPr>
          <w:rFonts w:hint="eastAsia" w:ascii="宋体" w:hAnsi="宋体" w:eastAsia="宋体" w:cs="宋体"/>
          <w:color w:val="000000"/>
          <w:kern w:val="0"/>
          <w:sz w:val="21"/>
          <w:szCs w:val="21"/>
          <w:highlight w:val="none"/>
          <w:lang w:val="en-US" w:eastAsia="zh-CN" w:bidi="ar"/>
        </w:rPr>
        <w:t>按照</w:t>
      </w:r>
      <w:r>
        <w:rPr>
          <w:rFonts w:hint="eastAsia"/>
          <w:highlight w:val="none"/>
        </w:rPr>
        <w:t>《重庆城乡建设委员会关于印《重庆市建设工程安全文明施工费计取及使用管理规定(2024版)》</w:t>
      </w:r>
      <w:r>
        <w:rPr>
          <w:rFonts w:hint="eastAsia"/>
          <w:highlight w:val="none"/>
          <w:lang w:eastAsia="zh-CN"/>
        </w:rPr>
        <w:t>（</w:t>
      </w:r>
      <w:r>
        <w:rPr>
          <w:rFonts w:hint="eastAsia"/>
          <w:highlight w:val="none"/>
        </w:rPr>
        <w:t>渝建管</w:t>
      </w:r>
      <w:r>
        <w:rPr>
          <w:rFonts w:hint="eastAsia" w:ascii="仿宋" w:hAnsi="仿宋" w:eastAsia="仿宋" w:cs="仿宋"/>
          <w:highlight w:val="none"/>
        </w:rPr>
        <w:t>〔</w:t>
      </w:r>
      <w:r>
        <w:rPr>
          <w:rFonts w:hint="eastAsia"/>
          <w:highlight w:val="none"/>
        </w:rPr>
        <w:t>2024</w:t>
      </w:r>
      <w:r>
        <w:rPr>
          <w:rFonts w:hint="eastAsia" w:ascii="仿宋" w:hAnsi="仿宋" w:eastAsia="仿宋" w:cs="仿宋"/>
          <w:highlight w:val="none"/>
        </w:rPr>
        <w:t>〕</w:t>
      </w:r>
      <w:r>
        <w:rPr>
          <w:rFonts w:hint="eastAsia"/>
          <w:highlight w:val="none"/>
        </w:rPr>
        <w:t>38号</w:t>
      </w:r>
      <w:r>
        <w:rPr>
          <w:rFonts w:hint="eastAsia"/>
          <w:highlight w:val="none"/>
          <w:lang w:eastAsia="zh-CN"/>
        </w:rPr>
        <w:t>）</w:t>
      </w:r>
      <w:r>
        <w:rPr>
          <w:rFonts w:hint="eastAsia" w:ascii="宋体" w:hAnsi="宋体" w:eastAsia="宋体" w:cs="宋体"/>
          <w:color w:val="000000"/>
          <w:kern w:val="0"/>
          <w:sz w:val="21"/>
          <w:szCs w:val="21"/>
          <w:highlight w:val="none"/>
          <w:lang w:val="en-US" w:eastAsia="zh-CN" w:bidi="ar"/>
        </w:rPr>
        <w:t>规定执行</w:t>
      </w:r>
      <w:r>
        <w:rPr>
          <w:rFonts w:ascii="瀹嬩綋" w:hAnsi="瀹嬩綋" w:eastAsia="瀹嬩綋" w:cs="瀹嬩綋"/>
          <w:color w:val="000000"/>
          <w:kern w:val="0"/>
          <w:sz w:val="21"/>
          <w:szCs w:val="21"/>
          <w:highlight w:val="none"/>
          <w:lang w:val="en-US" w:eastAsia="zh-CN" w:bidi="ar"/>
        </w:rPr>
        <w:t xml:space="preserve">。 </w:t>
      </w:r>
    </w:p>
    <w:p w14:paraId="39D0AC8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5）规费：按相关规定计取。 </w:t>
      </w:r>
    </w:p>
    <w:p w14:paraId="6EEF963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6）税金：按照《重庆市建设工程费用定额》（CQFYDE-2018）和 《重庆市住房和城乡建设委员会关于适用增值税新税率调整建设工程计价依据的通知》（渝建（2019）143 号）的规定执行。 </w:t>
      </w:r>
    </w:p>
    <w:p w14:paraId="61B8C81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7）变更估价原则：本工程所有变更均由中选人实施，但不增加任何设计费用；在工程施工过程中，因中选人自身原因造成的设计文件有缺陷，中选人应无条件修改设计及施工内容</w:t>
      </w:r>
      <w:r>
        <w:rPr>
          <w:rFonts w:hint="default" w:ascii="宋体" w:hAnsi="宋体" w:eastAsia="宋体" w:cs="宋体"/>
          <w:color w:val="000000"/>
          <w:kern w:val="0"/>
          <w:sz w:val="21"/>
          <w:szCs w:val="21"/>
          <w:highlight w:val="none"/>
          <w:lang w:val="en-US" w:eastAsia="zh-CN" w:bidi="ar"/>
        </w:rPr>
        <w:t>；非</w:t>
      </w:r>
      <w:r>
        <w:rPr>
          <w:rFonts w:hint="eastAsia" w:ascii="宋体" w:hAnsi="宋体" w:eastAsia="宋体" w:cs="宋体"/>
          <w:color w:val="000000"/>
          <w:kern w:val="0"/>
          <w:sz w:val="21"/>
          <w:szCs w:val="21"/>
          <w:highlight w:val="none"/>
          <w:lang w:val="en-US" w:eastAsia="zh-CN" w:bidi="ar"/>
        </w:rPr>
        <w:t>中选人</w:t>
      </w:r>
      <w:r>
        <w:rPr>
          <w:rFonts w:hint="default" w:ascii="宋体" w:hAnsi="宋体" w:eastAsia="宋体" w:cs="宋体"/>
          <w:color w:val="000000"/>
          <w:kern w:val="0"/>
          <w:sz w:val="21"/>
          <w:szCs w:val="21"/>
          <w:highlight w:val="none"/>
          <w:lang w:val="en-US" w:eastAsia="zh-CN" w:bidi="ar"/>
        </w:rPr>
        <w:t>原因引起的变更，其建安工程费采用以下办法结算：由</w:t>
      </w:r>
      <w:r>
        <w:rPr>
          <w:rFonts w:hint="eastAsia" w:ascii="宋体" w:hAnsi="宋体" w:eastAsia="宋体" w:cs="宋体"/>
          <w:color w:val="000000"/>
          <w:kern w:val="0"/>
          <w:sz w:val="21"/>
          <w:szCs w:val="21"/>
          <w:highlight w:val="none"/>
          <w:lang w:val="en-US" w:eastAsia="zh-CN" w:bidi="ar"/>
        </w:rPr>
        <w:t>比选人</w:t>
      </w:r>
      <w:r>
        <w:rPr>
          <w:rFonts w:hint="default" w:ascii="宋体" w:hAnsi="宋体" w:eastAsia="宋体" w:cs="宋体"/>
          <w:color w:val="000000"/>
          <w:kern w:val="0"/>
          <w:sz w:val="21"/>
          <w:szCs w:val="21"/>
          <w:highlight w:val="none"/>
          <w:lang w:val="en-US" w:eastAsia="zh-CN" w:bidi="ar"/>
        </w:rPr>
        <w:t>委托第三方咨询机构审定的工程量清单中有相同清单的，执行该清单价格；有类似清单的，按类似清单进行结算；即无相同清单也无类似清单的，按合同及</w:t>
      </w:r>
      <w:r>
        <w:rPr>
          <w:rFonts w:hint="eastAsia" w:ascii="宋体" w:hAnsi="宋体" w:eastAsia="宋体" w:cs="宋体"/>
          <w:color w:val="000000"/>
          <w:kern w:val="0"/>
          <w:sz w:val="21"/>
          <w:szCs w:val="21"/>
          <w:highlight w:val="none"/>
          <w:lang w:val="en-US" w:eastAsia="zh-CN" w:bidi="ar"/>
        </w:rPr>
        <w:t>比选文件</w:t>
      </w:r>
      <w:r>
        <w:rPr>
          <w:rFonts w:hint="default" w:ascii="宋体" w:hAnsi="宋体" w:eastAsia="宋体" w:cs="宋体"/>
          <w:color w:val="000000"/>
          <w:kern w:val="0"/>
          <w:sz w:val="21"/>
          <w:szCs w:val="21"/>
          <w:highlight w:val="none"/>
          <w:lang w:val="en-US" w:eastAsia="zh-CN" w:bidi="ar"/>
        </w:rPr>
        <w:t>载明的建安工程费报价、计价原则以及</w:t>
      </w:r>
      <w:r>
        <w:rPr>
          <w:rFonts w:hint="eastAsia" w:ascii="宋体" w:hAnsi="宋体" w:eastAsia="宋体" w:cs="宋体"/>
          <w:color w:val="000000"/>
          <w:kern w:val="0"/>
          <w:sz w:val="21"/>
          <w:szCs w:val="21"/>
          <w:highlight w:val="none"/>
          <w:lang w:val="en-US" w:eastAsia="zh-CN" w:bidi="ar"/>
        </w:rPr>
        <w:t>中选</w:t>
      </w:r>
      <w:r>
        <w:rPr>
          <w:rFonts w:hint="default" w:ascii="宋体" w:hAnsi="宋体" w:eastAsia="宋体" w:cs="宋体"/>
          <w:color w:val="000000"/>
          <w:kern w:val="0"/>
          <w:sz w:val="21"/>
          <w:szCs w:val="21"/>
          <w:highlight w:val="none"/>
          <w:lang w:val="en-US" w:eastAsia="zh-CN" w:bidi="ar"/>
        </w:rPr>
        <w:t>下浮比</w:t>
      </w:r>
      <w:r>
        <w:rPr>
          <w:rFonts w:hint="eastAsia" w:ascii="宋体" w:hAnsi="宋体" w:eastAsia="宋体" w:cs="宋体"/>
          <w:color w:val="000000"/>
          <w:kern w:val="0"/>
          <w:sz w:val="21"/>
          <w:szCs w:val="21"/>
          <w:highlight w:val="none"/>
          <w:lang w:val="en-US" w:eastAsia="zh-CN" w:bidi="ar"/>
        </w:rPr>
        <w:t xml:space="preserve">例（中标下浮比例=1-建筑安装工程费固定费率）和范围进行结算。 </w:t>
      </w:r>
    </w:p>
    <w:p w14:paraId="114A04B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8）若根据前述规定计算的工程费结算金额超过结算限额的，则按结算限额进行结算；若未超过，则按前述规定据实结算。</w:t>
      </w:r>
    </w:p>
    <w:p w14:paraId="35259C5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9）结算的其他约定：中选人提交的结算经比选人审核，若审减率在5%(含5%)以内，审计机构收取的基本审核费和审减效益费由比选人承担；若审减率超过5%，则审计机构收取的基本审核费由比选人承担，但审减效益费（按审减金额的5%计取，含审减5%以内的和审减超过5%以外的）均由中选人承担。比选人有权在应付中选人的款项中直接扣除。 </w:t>
      </w:r>
    </w:p>
    <w:p w14:paraId="5E4004A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10）本工程最终以比选人上级单位委托的审计单位审定金额作为结算价。</w:t>
      </w:r>
    </w:p>
    <w:p w14:paraId="2F41CAC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（三）其他费用结算原则：按合同相关约定执行 。 </w:t>
      </w:r>
    </w:p>
    <w:p w14:paraId="1DA79B25">
      <w:pPr>
        <w:widowControl/>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3.1.</w:t>
      </w:r>
      <w:r>
        <w:rPr>
          <w:rFonts w:hint="eastAsia" w:ascii="宋体" w:hAnsi="宋体"/>
          <w:color w:val="000000"/>
          <w:szCs w:val="21"/>
          <w:highlight w:val="none"/>
          <w:lang w:val="en-US" w:eastAsia="zh-CN"/>
        </w:rPr>
        <w:t>7</w:t>
      </w:r>
      <w:r>
        <w:rPr>
          <w:rFonts w:hint="eastAsia" w:ascii="宋体" w:hAnsi="宋体"/>
          <w:color w:val="000000"/>
          <w:szCs w:val="21"/>
          <w:highlight w:val="none"/>
        </w:rPr>
        <w:t>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章格式和要求进行价格填报。</w:t>
      </w:r>
    </w:p>
    <w:p w14:paraId="552930AE">
      <w:pPr>
        <w:widowControl/>
        <w:spacing w:line="360" w:lineRule="auto"/>
        <w:ind w:firstLine="422" w:firstLineChars="200"/>
        <w:outlineLvl w:val="2"/>
        <w:rPr>
          <w:rFonts w:ascii="宋体" w:hAnsi="宋体"/>
          <w:b/>
          <w:bCs/>
          <w:color w:val="000000"/>
          <w:szCs w:val="21"/>
          <w:highlight w:val="none"/>
        </w:rPr>
      </w:pPr>
      <w:r>
        <w:rPr>
          <w:rFonts w:hint="eastAsia" w:ascii="宋体" w:hAnsi="宋体"/>
          <w:b/>
          <w:bCs/>
          <w:color w:val="000000"/>
          <w:szCs w:val="21"/>
          <w:highlight w:val="none"/>
        </w:rPr>
        <w:t>3.2</w:t>
      </w:r>
      <w:r>
        <w:rPr>
          <w:rFonts w:hint="eastAsia" w:ascii="宋体" w:hAnsi="宋体"/>
          <w:b/>
          <w:bCs/>
          <w:color w:val="000000"/>
          <w:szCs w:val="21"/>
          <w:highlight w:val="none"/>
          <w:lang w:val="en-US" w:eastAsia="zh-CN"/>
        </w:rPr>
        <w:t>参选技术</w:t>
      </w:r>
      <w:r>
        <w:rPr>
          <w:rFonts w:hint="eastAsia" w:ascii="宋体" w:hAnsi="宋体"/>
          <w:b/>
          <w:bCs/>
          <w:color w:val="000000"/>
          <w:szCs w:val="21"/>
          <w:highlight w:val="none"/>
        </w:rPr>
        <w:t>方案编制要求</w:t>
      </w:r>
    </w:p>
    <w:p w14:paraId="745F16B2">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宋体" w:hAnsi="宋体"/>
          <w:snapToGrid w:val="0"/>
          <w:color w:val="000000"/>
          <w:kern w:val="0"/>
          <w:szCs w:val="21"/>
          <w:highlight w:val="none"/>
          <w:u w:val="single"/>
          <w:lang w:val="en-US" w:eastAsia="zh-CN"/>
        </w:rPr>
      </w:pPr>
      <w:r>
        <w:rPr>
          <w:rFonts w:hint="eastAsia" w:ascii="宋体" w:hAnsi="宋体"/>
          <w:color w:val="000000"/>
          <w:szCs w:val="21"/>
          <w:highlight w:val="none"/>
        </w:rPr>
        <w:t>本次比选的参选人按照下列要求编制参选技术方案：</w:t>
      </w:r>
      <w:r>
        <w:rPr>
          <w:rFonts w:hint="eastAsia" w:ascii="宋体" w:hAnsi="宋体"/>
          <w:color w:val="000000"/>
          <w:szCs w:val="21"/>
          <w:highlight w:val="none"/>
          <w:u w:val="single"/>
        </w:rPr>
        <w:t>该项目参选人须</w:t>
      </w:r>
      <w:r>
        <w:rPr>
          <w:rFonts w:hint="eastAsia" w:ascii="宋体" w:hAnsi="宋体"/>
          <w:snapToGrid w:val="0"/>
          <w:color w:val="000000"/>
          <w:kern w:val="0"/>
          <w:szCs w:val="21"/>
          <w:highlight w:val="none"/>
          <w:u w:val="single"/>
        </w:rPr>
        <w:t>对项目现状进行</w:t>
      </w:r>
      <w:r>
        <w:rPr>
          <w:rFonts w:hint="eastAsia" w:ascii="宋体" w:hAnsi="宋体"/>
          <w:snapToGrid w:val="0"/>
          <w:color w:val="000000"/>
          <w:kern w:val="0"/>
          <w:szCs w:val="21"/>
          <w:highlight w:val="none"/>
          <w:u w:val="single"/>
          <w:lang w:val="en-US" w:eastAsia="zh-CN"/>
        </w:rPr>
        <w:t>初步</w:t>
      </w:r>
      <w:r>
        <w:rPr>
          <w:rFonts w:hint="eastAsia" w:ascii="宋体" w:hAnsi="宋体"/>
          <w:snapToGrid w:val="0"/>
          <w:color w:val="000000"/>
          <w:kern w:val="0"/>
          <w:szCs w:val="21"/>
          <w:highlight w:val="none"/>
          <w:u w:val="single"/>
        </w:rPr>
        <w:t>勘测、调查、评估</w:t>
      </w:r>
      <w:r>
        <w:rPr>
          <w:rFonts w:hint="eastAsia" w:ascii="宋体" w:hAnsi="宋体"/>
          <w:snapToGrid w:val="0"/>
          <w:color w:val="000000"/>
          <w:kern w:val="0"/>
          <w:szCs w:val="21"/>
          <w:highlight w:val="none"/>
          <w:u w:val="single"/>
          <w:lang w:eastAsia="zh-CN"/>
        </w:rPr>
        <w:t>（</w:t>
      </w:r>
      <w:r>
        <w:rPr>
          <w:rFonts w:hint="eastAsia" w:ascii="宋体" w:hAnsi="宋体"/>
          <w:snapToGrid w:val="0"/>
          <w:color w:val="000000"/>
          <w:kern w:val="0"/>
          <w:szCs w:val="21"/>
          <w:highlight w:val="none"/>
          <w:u w:val="single"/>
          <w:lang w:val="en-US" w:eastAsia="zh-CN"/>
        </w:rPr>
        <w:t>参选人自行组织踏勘调研</w:t>
      </w:r>
      <w:r>
        <w:rPr>
          <w:rFonts w:hint="eastAsia" w:ascii="宋体" w:hAnsi="宋体"/>
          <w:snapToGrid w:val="0"/>
          <w:color w:val="000000"/>
          <w:kern w:val="0"/>
          <w:szCs w:val="21"/>
          <w:highlight w:val="none"/>
          <w:u w:val="single"/>
          <w:lang w:eastAsia="zh-CN"/>
        </w:rPr>
        <w:t>）</w:t>
      </w:r>
      <w:r>
        <w:rPr>
          <w:rFonts w:hint="eastAsia" w:ascii="宋体" w:hAnsi="宋体"/>
          <w:snapToGrid w:val="0"/>
          <w:color w:val="000000"/>
          <w:kern w:val="0"/>
          <w:szCs w:val="21"/>
          <w:highlight w:val="none"/>
          <w:u w:val="single"/>
        </w:rPr>
        <w:t>，</w:t>
      </w:r>
      <w:r>
        <w:rPr>
          <w:rFonts w:hint="eastAsia" w:ascii="宋体" w:hAnsi="宋体"/>
          <w:snapToGrid w:val="0"/>
          <w:color w:val="000000"/>
          <w:kern w:val="0"/>
          <w:szCs w:val="21"/>
          <w:highlight w:val="none"/>
          <w:u w:val="single"/>
          <w:lang w:val="en-US" w:eastAsia="zh-CN"/>
        </w:rPr>
        <w:t>对本次参选项目所涉及内容有基础了解，综合项目现状编制参选技术方案，内容包括但不限于：一是对</w:t>
      </w:r>
      <w:r>
        <w:rPr>
          <w:rFonts w:hint="eastAsia" w:ascii="宋体" w:hAnsi="宋体"/>
          <w:snapToGrid w:val="0"/>
          <w:kern w:val="0"/>
          <w:szCs w:val="21"/>
          <w:highlight w:val="none"/>
          <w:u w:val="single"/>
          <w:lang w:val="en-US" w:eastAsia="zh-CN"/>
        </w:rPr>
        <w:t>阿依河景区岩头坝区域室外景观6个主要景观节点的灯光系统、扩声系统</w:t>
      </w:r>
      <w:r>
        <w:rPr>
          <w:rFonts w:hint="eastAsia" w:ascii="宋体" w:hAnsi="宋体"/>
          <w:snapToGrid w:val="0"/>
          <w:color w:val="000000"/>
          <w:kern w:val="0"/>
          <w:szCs w:val="21"/>
          <w:highlight w:val="none"/>
          <w:u w:val="single"/>
          <w:lang w:val="en-US" w:eastAsia="zh-CN"/>
        </w:rPr>
        <w:t>、控制及传声系统的设置提出设计布局思路、所达到的效果，以及技术服务工作大纲。二是在工程施作方面需要提供施工方案。格式自拟。</w:t>
      </w:r>
    </w:p>
    <w:p w14:paraId="10BFE61F">
      <w:pPr>
        <w:keepNext w:val="0"/>
        <w:keepLines w:val="0"/>
        <w:pageBreakBefore w:val="0"/>
        <w:widowControl/>
        <w:kinsoku/>
        <w:wordWrap/>
        <w:overflowPunct/>
        <w:topLinePunct w:val="0"/>
        <w:bidi w:val="0"/>
        <w:spacing w:line="360" w:lineRule="auto"/>
        <w:ind w:firstLine="422" w:firstLineChars="200"/>
        <w:textAlignment w:val="auto"/>
        <w:outlineLvl w:val="9"/>
        <w:rPr>
          <w:rFonts w:ascii="宋体" w:hAnsi="宋体"/>
          <w:b/>
          <w:bCs/>
          <w:color w:val="000000"/>
          <w:szCs w:val="21"/>
          <w:highlight w:val="none"/>
        </w:rPr>
      </w:pPr>
      <w:r>
        <w:rPr>
          <w:rFonts w:hint="eastAsia" w:ascii="宋体" w:hAnsi="宋体"/>
          <w:b/>
          <w:bCs/>
          <w:color w:val="000000"/>
          <w:szCs w:val="21"/>
          <w:highlight w:val="none"/>
        </w:rPr>
        <w:t>3.3资格审查部分编制要求</w:t>
      </w:r>
    </w:p>
    <w:p w14:paraId="66C9CD5B">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具体详见第二章、第</w:t>
      </w:r>
      <w:r>
        <w:rPr>
          <w:rFonts w:hint="eastAsia" w:ascii="宋体" w:hAnsi="宋体"/>
          <w:color w:val="000000"/>
          <w:szCs w:val="21"/>
          <w:highlight w:val="none"/>
          <w:lang w:val="en-US" w:eastAsia="zh-CN"/>
        </w:rPr>
        <w:t>五</w:t>
      </w:r>
      <w:r>
        <w:rPr>
          <w:rFonts w:hint="eastAsia" w:ascii="宋体" w:hAnsi="宋体"/>
          <w:color w:val="000000"/>
          <w:szCs w:val="21"/>
          <w:highlight w:val="none"/>
        </w:rPr>
        <w:t>章。</w:t>
      </w:r>
    </w:p>
    <w:p w14:paraId="6D447C9F">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b/>
          <w:bCs/>
          <w:color w:val="000000"/>
          <w:szCs w:val="21"/>
          <w:highlight w:val="none"/>
        </w:rPr>
      </w:pPr>
      <w:r>
        <w:rPr>
          <w:rFonts w:hint="eastAsia" w:ascii="宋体" w:hAnsi="宋体"/>
          <w:b/>
          <w:bCs/>
          <w:color w:val="000000"/>
          <w:szCs w:val="21"/>
          <w:highlight w:val="none"/>
        </w:rPr>
        <w:t>3.4装订、密封要求</w:t>
      </w:r>
    </w:p>
    <w:p w14:paraId="143095DD">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3.4.1.参选文件的数量</w:t>
      </w:r>
    </w:p>
    <w:p w14:paraId="66D1E86B">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（1）技术方案纸质文本一式1份；</w:t>
      </w:r>
    </w:p>
    <w:p w14:paraId="08349065">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（2）资格审查文件一式1份；</w:t>
      </w:r>
    </w:p>
    <w:p w14:paraId="714B5949">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（3）报价文件一式1份；</w:t>
      </w:r>
    </w:p>
    <w:p w14:paraId="4317BF50">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（4）电子文件（优盘）；</w:t>
      </w:r>
    </w:p>
    <w:p w14:paraId="2A50A90F">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其中包含发包人要求的成果要求文件所有内容的优盘1个，PPT文档必须和纸质文本内容完全一致。</w:t>
      </w:r>
    </w:p>
    <w:p w14:paraId="6194AA70">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3.4.2参选文件装订要求</w:t>
      </w:r>
    </w:p>
    <w:p w14:paraId="411AA7F2">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3.4.2.1 报价文件装订要求按照第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 xml:space="preserve">章规定的格式装订成册 </w:t>
      </w:r>
    </w:p>
    <w:p w14:paraId="7B104313">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color w:val="000000"/>
          <w:szCs w:val="21"/>
          <w:highlight w:val="none"/>
        </w:rPr>
      </w:pPr>
      <w:r>
        <w:rPr>
          <w:rFonts w:hint="eastAsia" w:ascii="宋体" w:hAnsi="宋体"/>
          <w:color w:val="000000"/>
          <w:szCs w:val="21"/>
          <w:highlight w:val="none"/>
        </w:rPr>
        <w:t>3.4.2.2 资格审查文件装订要求按照第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章规定格式装订成册，并编制目录。</w:t>
      </w:r>
    </w:p>
    <w:p w14:paraId="35744B4F">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u w:val="single"/>
        </w:rPr>
      </w:pPr>
      <w:r>
        <w:rPr>
          <w:rFonts w:hint="eastAsia" w:ascii="宋体" w:hAnsi="宋体"/>
          <w:color w:val="000000"/>
          <w:szCs w:val="21"/>
          <w:highlight w:val="none"/>
        </w:rPr>
        <w:t>3.4.2.3技术方案装订要求</w:t>
      </w:r>
      <w:r>
        <w:rPr>
          <w:rFonts w:hint="eastAsia" w:ascii="宋体" w:hAnsi="宋体"/>
          <w:color w:val="000000"/>
          <w:szCs w:val="21"/>
          <w:highlight w:val="none"/>
          <w:lang w:eastAsia="zh-CN"/>
        </w:rPr>
        <w:t>：</w:t>
      </w:r>
      <w:r>
        <w:rPr>
          <w:rFonts w:hint="eastAsia" w:ascii="宋体" w:hAnsi="宋体"/>
          <w:color w:val="000000"/>
          <w:szCs w:val="21"/>
          <w:highlight w:val="none"/>
          <w:u w:val="single"/>
        </w:rPr>
        <w:t>技术部分采用暗标评审，《技术方案》封面使用</w:t>
      </w:r>
      <w:r>
        <w:rPr>
          <w:rFonts w:ascii="宋体" w:hAnsi="宋体"/>
          <w:color w:val="000000"/>
          <w:szCs w:val="21"/>
          <w:highlight w:val="none"/>
          <w:u w:val="single"/>
        </w:rPr>
        <w:t>A4厚型白纸，用初号仿宋字体居中标明“技术方案”；在</w:t>
      </w:r>
      <w:r>
        <w:rPr>
          <w:rFonts w:hint="eastAsia" w:ascii="宋体" w:hAnsi="宋体"/>
          <w:color w:val="000000"/>
          <w:szCs w:val="21"/>
          <w:highlight w:val="none"/>
          <w:u w:val="single"/>
        </w:rPr>
        <w:t>封面右下角加盖参选单位章后沿密封线折叠成腰约</w:t>
      </w:r>
      <w:r>
        <w:rPr>
          <w:rFonts w:ascii="宋体" w:hAnsi="宋体"/>
          <w:color w:val="000000"/>
          <w:szCs w:val="21"/>
          <w:highlight w:val="none"/>
          <w:u w:val="single"/>
        </w:rPr>
        <w:t>10cm左右的等腰直角三角形密封；</w:t>
      </w:r>
      <w:r>
        <w:rPr>
          <w:rFonts w:hint="eastAsia" w:ascii="宋体" w:hAnsi="宋体"/>
          <w:color w:val="000000"/>
          <w:szCs w:val="21"/>
          <w:highlight w:val="none"/>
          <w:u w:val="single"/>
        </w:rPr>
        <w:t>封面除了“技术方案”四字和右下角密封处印章外不得有其他印记；密封后的封面及整个《技术方案》均不得出现白页、残页和倒页，不得显示与参选人企业有关的任何信息及与本工程无关内容（封面由参选人按比选文件中提供的电子文档格式用</w:t>
      </w:r>
      <w:r>
        <w:rPr>
          <w:rFonts w:ascii="宋体" w:hAnsi="宋体"/>
          <w:color w:val="000000"/>
          <w:szCs w:val="21"/>
          <w:highlight w:val="none"/>
          <w:u w:val="single"/>
        </w:rPr>
        <w:t>A4厚型白纸打印，加盖单位公章后其</w:t>
      </w:r>
      <w:r>
        <w:rPr>
          <w:rFonts w:hint="eastAsia" w:ascii="宋体" w:hAnsi="宋体"/>
          <w:color w:val="000000"/>
          <w:szCs w:val="21"/>
          <w:highlight w:val="none"/>
          <w:u w:val="single"/>
        </w:rPr>
        <w:t>封面的反面以不得显示出单位公章单位名称为准）；《技术方案》文字部分纸张采用</w:t>
      </w:r>
      <w:r>
        <w:rPr>
          <w:rFonts w:ascii="宋体" w:hAnsi="宋体"/>
          <w:color w:val="000000"/>
          <w:szCs w:val="21"/>
          <w:highlight w:val="none"/>
          <w:u w:val="single"/>
        </w:rPr>
        <w:t>A4白纸，四号仿宋字体；图表采用A4或A3白纸，图表内的字体、字号大小不限；文字、图表不得使用彩色和不得编制页码</w:t>
      </w:r>
      <w:r>
        <w:rPr>
          <w:rFonts w:hint="eastAsia" w:ascii="宋体" w:hAnsi="宋体"/>
          <w:color w:val="000000"/>
          <w:szCs w:val="21"/>
          <w:highlight w:val="none"/>
          <w:u w:val="single"/>
        </w:rPr>
        <w:t>（意向图及效果图可使用彩色）。违反上述任何一项，其参选文件《技术方案》部分为零分。</w:t>
      </w:r>
    </w:p>
    <w:p w14:paraId="7871DEF3">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3.4.3密封要求</w:t>
      </w:r>
    </w:p>
    <w:p w14:paraId="5CE28D9C">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（1）技术部分采用暗标评审，技术方案文本单独装订成册并密封，封面按照第六章格式要求编制。</w:t>
      </w:r>
    </w:p>
    <w:p w14:paraId="5C8E40D5">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（2）资格审查文件装订成册并密封（在封袋上注明单位名称和封装内容，加盖公章）。</w:t>
      </w:r>
    </w:p>
    <w:p w14:paraId="260067EA">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（3）电子文件优盘与设计方案文本一并封装。</w:t>
      </w:r>
    </w:p>
    <w:p w14:paraId="764134D6">
      <w:pPr>
        <w:keepNext w:val="0"/>
        <w:keepLines w:val="0"/>
        <w:pageBreakBefore w:val="0"/>
        <w:widowControl/>
        <w:kinsoku/>
        <w:wordWrap/>
        <w:overflowPunct/>
        <w:topLinePunct w:val="0"/>
        <w:bidi w:val="0"/>
        <w:spacing w:line="400" w:lineRule="exact"/>
        <w:ind w:firstLine="420" w:firstLineChars="200"/>
        <w:textAlignment w:val="auto"/>
        <w:rPr>
          <w:szCs w:val="21"/>
          <w:highlight w:val="none"/>
        </w:rPr>
      </w:pPr>
      <w:r>
        <w:rPr>
          <w:rFonts w:hint="eastAsia" w:ascii="宋体" w:hAnsi="宋体"/>
          <w:color w:val="000000"/>
          <w:szCs w:val="21"/>
          <w:highlight w:val="none"/>
        </w:rPr>
        <w:t>（4）报价文件装订成册并密封（在封袋上注明单位名称和封装内容，加盖公章）。</w:t>
      </w:r>
    </w:p>
    <w:p w14:paraId="3D1C7210">
      <w:pPr>
        <w:keepNext w:val="0"/>
        <w:keepLines w:val="0"/>
        <w:pageBreakBefore w:val="0"/>
        <w:widowControl/>
        <w:kinsoku/>
        <w:wordWrap/>
        <w:overflowPunct/>
        <w:topLinePunct w:val="0"/>
        <w:bidi w:val="0"/>
        <w:spacing w:line="400" w:lineRule="exact"/>
        <w:ind w:firstLine="420" w:firstLineChars="200"/>
        <w:textAlignment w:val="auto"/>
        <w:rPr>
          <w:highlight w:val="none"/>
        </w:rPr>
      </w:pPr>
      <w:r>
        <w:rPr>
          <w:rFonts w:hint="eastAsia" w:ascii="宋体" w:hAnsi="宋体"/>
          <w:szCs w:val="21"/>
          <w:highlight w:val="none"/>
        </w:rPr>
        <w:t>注：所有参选文件应逐页加盖参选人公章。</w:t>
      </w:r>
    </w:p>
    <w:p w14:paraId="710D7FA0">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4.比选开标程序</w:t>
      </w:r>
    </w:p>
    <w:p w14:paraId="7F0A7370">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比选人不接收其参选文件。核验合格的法定代表人或委托代理人可自行选择是否参加比选会，不参加比选会的视为默认比选结果。</w:t>
      </w:r>
    </w:p>
    <w:p w14:paraId="0F7A84E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（2）宣布比选纪律。</w:t>
      </w:r>
    </w:p>
    <w:p w14:paraId="7937CB66">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（3）公布在参选截止时间前递交参选文件的参选人名称。</w:t>
      </w:r>
    </w:p>
    <w:p w14:paraId="1631B594">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（4）参选文件的密封检查：参选人可对自己和其它的参选文件封装情况进行检查，以确认其参选文件密封完好。</w:t>
      </w:r>
    </w:p>
    <w:p w14:paraId="6B92F4E9">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（5）当众开启参选文件。</w:t>
      </w:r>
    </w:p>
    <w:p w14:paraId="4C9E200A">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（6）公布各参选人报价，各参选人签字确认。</w:t>
      </w:r>
    </w:p>
    <w:p w14:paraId="130E77A4">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（7）开标结束。</w:t>
      </w:r>
    </w:p>
    <w:p w14:paraId="15430B60">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5.特别说明</w:t>
      </w:r>
    </w:p>
    <w:p w14:paraId="49DD64A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）比选人及其指定的单位</w:t>
      </w:r>
      <w:r>
        <w:rPr>
          <w:rFonts w:ascii="宋体" w:hAnsi="宋体"/>
          <w:color w:val="000000"/>
          <w:szCs w:val="21"/>
          <w:highlight w:val="none"/>
        </w:rPr>
        <w:t>享有</w:t>
      </w:r>
      <w:r>
        <w:rPr>
          <w:rFonts w:hint="eastAsia" w:ascii="宋体" w:hAnsi="宋体"/>
          <w:color w:val="000000"/>
          <w:szCs w:val="21"/>
          <w:highlight w:val="none"/>
        </w:rPr>
        <w:t>所有参选人</w:t>
      </w:r>
      <w:r>
        <w:rPr>
          <w:rFonts w:ascii="宋体" w:hAnsi="宋体"/>
          <w:color w:val="000000"/>
          <w:szCs w:val="21"/>
          <w:highlight w:val="none"/>
        </w:rPr>
        <w:t>所提交</w:t>
      </w:r>
      <w:r>
        <w:rPr>
          <w:rFonts w:hint="eastAsia" w:ascii="宋体" w:hAnsi="宋体"/>
          <w:color w:val="000000"/>
          <w:szCs w:val="21"/>
          <w:highlight w:val="none"/>
        </w:rPr>
        <w:t>服务</w:t>
      </w:r>
      <w:r>
        <w:rPr>
          <w:rFonts w:ascii="宋体" w:hAnsi="宋体"/>
          <w:color w:val="000000"/>
          <w:szCs w:val="21"/>
          <w:highlight w:val="none"/>
        </w:rPr>
        <w:t>方案成果的知识产权。</w:t>
      </w:r>
      <w:r>
        <w:rPr>
          <w:rFonts w:hint="eastAsia" w:ascii="宋体" w:hAnsi="宋体"/>
          <w:color w:val="000000"/>
          <w:szCs w:val="21"/>
          <w:highlight w:val="none"/>
        </w:rPr>
        <w:t>比选人及其指定的单位</w:t>
      </w:r>
      <w:r>
        <w:rPr>
          <w:rFonts w:ascii="宋体" w:hAnsi="宋体"/>
          <w:color w:val="000000"/>
          <w:szCs w:val="21"/>
          <w:highlight w:val="none"/>
        </w:rPr>
        <w:t>对各</w:t>
      </w:r>
      <w:r>
        <w:rPr>
          <w:rFonts w:hint="eastAsia" w:ascii="宋体" w:hAnsi="宋体"/>
          <w:color w:val="000000"/>
          <w:szCs w:val="21"/>
          <w:highlight w:val="none"/>
        </w:rPr>
        <w:t>参选人</w:t>
      </w:r>
      <w:r>
        <w:rPr>
          <w:rFonts w:ascii="宋体" w:hAnsi="宋体"/>
          <w:color w:val="000000"/>
          <w:szCs w:val="21"/>
          <w:highlight w:val="none"/>
        </w:rPr>
        <w:t>本次所提交的文件拥有使用权和处置权。</w:t>
      </w:r>
    </w:p>
    <w:p w14:paraId="2F933298">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本次</w:t>
      </w:r>
      <w:r>
        <w:rPr>
          <w:rFonts w:hint="eastAsia" w:ascii="宋体" w:hAnsi="宋体"/>
          <w:color w:val="000000"/>
          <w:szCs w:val="21"/>
          <w:highlight w:val="none"/>
        </w:rPr>
        <w:t>比选参选人提交的服务方案</w:t>
      </w:r>
      <w:r>
        <w:rPr>
          <w:rFonts w:ascii="宋体" w:hAnsi="宋体"/>
          <w:color w:val="000000"/>
          <w:szCs w:val="21"/>
          <w:highlight w:val="none"/>
        </w:rPr>
        <w:t>版权归</w:t>
      </w:r>
      <w:r>
        <w:rPr>
          <w:rFonts w:hint="eastAsia" w:ascii="宋体" w:hAnsi="宋体"/>
          <w:color w:val="000000"/>
          <w:szCs w:val="21"/>
          <w:highlight w:val="none"/>
        </w:rPr>
        <w:t>比选人及其指定的单位</w:t>
      </w:r>
      <w:r>
        <w:rPr>
          <w:rFonts w:ascii="宋体" w:hAnsi="宋体"/>
          <w:color w:val="000000"/>
          <w:szCs w:val="21"/>
          <w:highlight w:val="none"/>
        </w:rPr>
        <w:t>所有，</w:t>
      </w:r>
      <w:r>
        <w:rPr>
          <w:rFonts w:hint="eastAsia" w:ascii="宋体" w:hAnsi="宋体"/>
          <w:color w:val="000000"/>
          <w:szCs w:val="21"/>
          <w:highlight w:val="none"/>
        </w:rPr>
        <w:t>比选人及其指定的单位</w:t>
      </w:r>
      <w:r>
        <w:rPr>
          <w:rFonts w:ascii="宋体" w:hAnsi="宋体"/>
          <w:color w:val="000000"/>
          <w:szCs w:val="21"/>
          <w:highlight w:val="none"/>
        </w:rPr>
        <w:t>可进行展览、印刷、出版、使用等，所有</w:t>
      </w:r>
      <w:r>
        <w:rPr>
          <w:rFonts w:hint="eastAsia" w:ascii="宋体" w:hAnsi="宋体"/>
          <w:color w:val="000000"/>
          <w:szCs w:val="21"/>
          <w:highlight w:val="none"/>
        </w:rPr>
        <w:t>参选人</w:t>
      </w:r>
      <w:r>
        <w:rPr>
          <w:rFonts w:ascii="宋体" w:hAnsi="宋体"/>
          <w:color w:val="000000"/>
          <w:szCs w:val="21"/>
          <w:highlight w:val="none"/>
        </w:rPr>
        <w:t>提交的成果均不退还。</w:t>
      </w:r>
    </w:p>
    <w:p w14:paraId="732B069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（3）参选人在参选文件编制过程中使用的比选人提供的有关文件及资料不得用于本次比选工作以外。</w:t>
      </w:r>
    </w:p>
    <w:p w14:paraId="1A33F45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（4）比选人有权根据项目实际情况决定最终是否实施该项目或改变实施计划和实施内容，且有权根据情况变化取消或延迟与中选候选人签订合同，比选人不向参选人进行任何承诺。</w:t>
      </w:r>
    </w:p>
    <w:p w14:paraId="4A4BCB75">
      <w:pPr>
        <w:rPr>
          <w:rFonts w:ascii="宋体" w:hAnsi="宋体"/>
          <w:snapToGrid w:val="0"/>
          <w:kern w:val="0"/>
          <w:highlight w:val="none"/>
        </w:rPr>
      </w:pPr>
      <w:r>
        <w:rPr>
          <w:rFonts w:hint="eastAsia" w:ascii="宋体" w:hAnsi="宋体"/>
          <w:snapToGrid w:val="0"/>
          <w:kern w:val="0"/>
          <w:highlight w:val="none"/>
        </w:rPr>
        <w:br w:type="page"/>
      </w:r>
      <w:r>
        <w:rPr>
          <w:rFonts w:hint="eastAsia" w:ascii="宋体" w:hAnsi="宋体"/>
          <w:snapToGrid w:val="0"/>
          <w:kern w:val="0"/>
          <w:highlight w:val="none"/>
        </w:rPr>
        <w:t xml:space="preserve"> </w:t>
      </w:r>
      <w:r>
        <w:rPr>
          <w:rFonts w:hint="eastAsia" w:ascii="宋体" w:hAnsi="宋体"/>
          <w:snapToGrid w:val="0"/>
          <w:kern w:val="0"/>
          <w:highlight w:val="none"/>
          <w:lang w:val="en-US" w:eastAsia="zh-CN"/>
        </w:rPr>
        <w:t xml:space="preserve">        </w:t>
      </w:r>
      <w:r>
        <w:rPr>
          <w:rFonts w:ascii="宋体" w:hAnsi="宋体"/>
          <w:b/>
          <w:snapToGrid w:val="0"/>
          <w:kern w:val="0"/>
          <w:sz w:val="44"/>
          <w:highlight w:val="none"/>
        </w:rPr>
        <w:t>第</w:t>
      </w:r>
      <w:r>
        <w:rPr>
          <w:rFonts w:hint="default" w:ascii="宋体" w:hAnsi="宋体"/>
          <w:b/>
          <w:snapToGrid w:val="0"/>
          <w:kern w:val="0"/>
          <w:sz w:val="44"/>
          <w:highlight w:val="none"/>
        </w:rPr>
        <w:t>三</w:t>
      </w:r>
      <w:r>
        <w:rPr>
          <w:rFonts w:ascii="宋体" w:hAnsi="宋体"/>
          <w:b/>
          <w:snapToGrid w:val="0"/>
          <w:kern w:val="0"/>
          <w:sz w:val="44"/>
          <w:highlight w:val="none"/>
        </w:rPr>
        <w:t xml:space="preserve">章  </w:t>
      </w:r>
      <w:r>
        <w:rPr>
          <w:rFonts w:hint="default" w:ascii="宋体" w:hAnsi="宋体"/>
          <w:b/>
          <w:snapToGrid w:val="0"/>
          <w:kern w:val="0"/>
          <w:sz w:val="44"/>
          <w:highlight w:val="none"/>
        </w:rPr>
        <w:t>评审办法（综合评估法）</w:t>
      </w:r>
    </w:p>
    <w:p w14:paraId="33D4C8D2">
      <w:pPr>
        <w:spacing w:line="560" w:lineRule="exact"/>
        <w:rPr>
          <w:rFonts w:ascii="宋体" w:hAnsi="宋体"/>
          <w:b/>
          <w:bCs/>
          <w:snapToGrid w:val="0"/>
          <w:sz w:val="28"/>
          <w:szCs w:val="28"/>
          <w:highlight w:val="none"/>
        </w:rPr>
      </w:pPr>
      <w:r>
        <w:rPr>
          <w:rFonts w:hint="eastAsia" w:ascii="宋体" w:hAnsi="宋体"/>
          <w:b/>
          <w:bCs/>
          <w:snapToGrid w:val="0"/>
          <w:sz w:val="28"/>
          <w:szCs w:val="28"/>
          <w:highlight w:val="none"/>
        </w:rPr>
        <w:t>1.按照下表进行评审打分</w:t>
      </w:r>
    </w:p>
    <w:tbl>
      <w:tblPr>
        <w:tblStyle w:val="14"/>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992"/>
        <w:gridCol w:w="1690"/>
        <w:gridCol w:w="5794"/>
      </w:tblGrid>
      <w:tr w14:paraId="2455D3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3AF67E8D">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条款号</w:t>
            </w:r>
          </w:p>
        </w:tc>
        <w:tc>
          <w:tcPr>
            <w:tcW w:w="1690" w:type="dxa"/>
            <w:noWrap w:val="0"/>
            <w:vAlign w:val="center"/>
          </w:tcPr>
          <w:p w14:paraId="56450F03">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评审因素</w:t>
            </w:r>
          </w:p>
        </w:tc>
        <w:tc>
          <w:tcPr>
            <w:tcW w:w="5794" w:type="dxa"/>
            <w:noWrap w:val="0"/>
            <w:vAlign w:val="center"/>
          </w:tcPr>
          <w:p w14:paraId="09D32966">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评审标准</w:t>
            </w:r>
          </w:p>
        </w:tc>
      </w:tr>
      <w:tr w14:paraId="1051EC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7EF44A8E">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1</w:t>
            </w:r>
          </w:p>
        </w:tc>
        <w:tc>
          <w:tcPr>
            <w:tcW w:w="1690" w:type="dxa"/>
            <w:noWrap w:val="0"/>
            <w:vAlign w:val="center"/>
          </w:tcPr>
          <w:p w14:paraId="7A9D864F">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评标办法</w:t>
            </w:r>
          </w:p>
        </w:tc>
        <w:tc>
          <w:tcPr>
            <w:tcW w:w="5794" w:type="dxa"/>
            <w:noWrap w:val="0"/>
            <w:vAlign w:val="center"/>
          </w:tcPr>
          <w:p w14:paraId="2EE7A62E">
            <w:pPr>
              <w:keepNext w:val="0"/>
              <w:keepLines w:val="0"/>
              <w:pageBreakBefore w:val="0"/>
              <w:kinsoku/>
              <w:wordWrap/>
              <w:overflowPunct/>
              <w:topLinePunct w:val="0"/>
              <w:bidi w:val="0"/>
              <w:adjustRightInd/>
              <w:snapToGrid/>
              <w:spacing w:line="400" w:lineRule="exact"/>
              <w:ind w:firstLine="420" w:firstLineChars="200"/>
              <w:jc w:val="left"/>
              <w:textAlignment w:val="auto"/>
              <w:rPr>
                <w:rFonts w:hint="eastAsia" w:ascii="宋体" w:hAnsi="宋体" w:eastAsia="宋体"/>
                <w:kern w:val="0"/>
                <w:highlight w:val="none"/>
                <w:lang w:val="en-US" w:eastAsia="zh-CN"/>
              </w:rPr>
            </w:pPr>
            <w:r>
              <w:rPr>
                <w:rFonts w:ascii="宋体" w:hAnsi="宋体"/>
                <w:kern w:val="0"/>
                <w:szCs w:val="21"/>
                <w:highlight w:val="none"/>
              </w:rPr>
              <w:t>本次评标采用综合评估法</w:t>
            </w:r>
            <w:r>
              <w:rPr>
                <w:rFonts w:ascii="宋体" w:hAnsi="宋体"/>
                <w:spacing w:val="-47"/>
                <w:kern w:val="0"/>
                <w:szCs w:val="21"/>
                <w:highlight w:val="none"/>
              </w:rPr>
              <w:t>。</w:t>
            </w:r>
            <w:r>
              <w:rPr>
                <w:rFonts w:hint="eastAsia" w:ascii="宋体" w:hAnsi="宋体"/>
                <w:kern w:val="0"/>
                <w:szCs w:val="21"/>
                <w:highlight w:val="none"/>
              </w:rPr>
              <w:t>公开比选委员会</w:t>
            </w:r>
            <w:r>
              <w:rPr>
                <w:rFonts w:ascii="宋体" w:hAnsi="宋体"/>
                <w:kern w:val="0"/>
                <w:szCs w:val="21"/>
                <w:highlight w:val="none"/>
              </w:rPr>
              <w:t>按照本章</w:t>
            </w:r>
            <w:r>
              <w:rPr>
                <w:rFonts w:ascii="宋体" w:hAnsi="宋体"/>
                <w:spacing w:val="-1"/>
                <w:kern w:val="0"/>
                <w:szCs w:val="21"/>
                <w:highlight w:val="none"/>
              </w:rPr>
              <w:t>规</w:t>
            </w:r>
            <w:r>
              <w:rPr>
                <w:rFonts w:ascii="宋体" w:hAnsi="宋体"/>
                <w:kern w:val="0"/>
                <w:szCs w:val="21"/>
                <w:highlight w:val="none"/>
              </w:rPr>
              <w:t>定的评分标准进行打分，按得分由高到低顺序推荐中选候选人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以参选报价低的优先；参选报价相等的，</w:t>
            </w:r>
            <w:r>
              <w:rPr>
                <w:rFonts w:hint="eastAsia" w:ascii="宋体" w:hAnsi="宋体"/>
                <w:kern w:val="0"/>
                <w:szCs w:val="21"/>
                <w:highlight w:val="none"/>
              </w:rPr>
              <w:t>以技术部分得分高的优先；技术部分得分相等的，由公开比选委员会抽签确定。</w:t>
            </w:r>
          </w:p>
        </w:tc>
      </w:tr>
      <w:tr w14:paraId="7F69D1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noWrap w:val="0"/>
            <w:vAlign w:val="center"/>
          </w:tcPr>
          <w:p w14:paraId="5A764584">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992" w:type="dxa"/>
            <w:noWrap w:val="0"/>
            <w:vAlign w:val="center"/>
          </w:tcPr>
          <w:p w14:paraId="757A8A2E">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资格评审标准</w:t>
            </w:r>
          </w:p>
        </w:tc>
        <w:tc>
          <w:tcPr>
            <w:tcW w:w="1690" w:type="dxa"/>
            <w:tcBorders>
              <w:bottom w:val="single" w:color="auto" w:sz="4" w:space="0"/>
            </w:tcBorders>
            <w:noWrap w:val="0"/>
            <w:vAlign w:val="center"/>
          </w:tcPr>
          <w:p w14:paraId="5FBC1D1B">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参选人资质条件、能力和信誉</w:t>
            </w:r>
          </w:p>
        </w:tc>
        <w:tc>
          <w:tcPr>
            <w:tcW w:w="5794" w:type="dxa"/>
            <w:noWrap w:val="0"/>
            <w:vAlign w:val="center"/>
          </w:tcPr>
          <w:p w14:paraId="1CBBE58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第一章、</w:t>
            </w:r>
            <w:r>
              <w:rPr>
                <w:rFonts w:ascii="宋体" w:hAnsi="宋体"/>
                <w:kern w:val="0"/>
                <w:highlight w:val="none"/>
              </w:rPr>
              <w:t>第二章规定。</w:t>
            </w:r>
          </w:p>
        </w:tc>
      </w:tr>
      <w:tr w14:paraId="3B277F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restart"/>
            <w:noWrap w:val="0"/>
            <w:vAlign w:val="center"/>
          </w:tcPr>
          <w:p w14:paraId="6940138F">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992" w:type="dxa"/>
            <w:vMerge w:val="restart"/>
            <w:noWrap w:val="0"/>
            <w:vAlign w:val="center"/>
          </w:tcPr>
          <w:p w14:paraId="2F214786">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形式评审标准</w:t>
            </w:r>
          </w:p>
        </w:tc>
        <w:tc>
          <w:tcPr>
            <w:tcW w:w="1690" w:type="dxa"/>
            <w:tcBorders>
              <w:top w:val="single" w:color="auto" w:sz="4" w:space="0"/>
              <w:bottom w:val="single" w:color="auto" w:sz="4" w:space="0"/>
            </w:tcBorders>
            <w:noWrap w:val="0"/>
            <w:vAlign w:val="center"/>
          </w:tcPr>
          <w:p w14:paraId="49ACA6F4">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参选人名称</w:t>
            </w:r>
          </w:p>
        </w:tc>
        <w:tc>
          <w:tcPr>
            <w:tcW w:w="5794" w:type="dxa"/>
            <w:noWrap w:val="0"/>
            <w:vAlign w:val="center"/>
          </w:tcPr>
          <w:p w14:paraId="14F185B3">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与营业执照一致</w:t>
            </w:r>
            <w:r>
              <w:rPr>
                <w:rFonts w:hint="eastAsia" w:ascii="宋体" w:hAnsi="宋体"/>
                <w:kern w:val="0"/>
                <w:highlight w:val="none"/>
              </w:rPr>
              <w:t>，依法变更名称的应提交相应证明材料</w:t>
            </w:r>
            <w:r>
              <w:rPr>
                <w:rFonts w:ascii="宋体" w:hAnsi="宋体"/>
                <w:kern w:val="0"/>
                <w:highlight w:val="none"/>
              </w:rPr>
              <w:t>。</w:t>
            </w:r>
          </w:p>
        </w:tc>
      </w:tr>
      <w:tr w14:paraId="1C8BC4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6CF6751A">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79205C71">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076E34A8">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参选函签字盖章</w:t>
            </w:r>
          </w:p>
        </w:tc>
        <w:tc>
          <w:tcPr>
            <w:tcW w:w="5794" w:type="dxa"/>
            <w:noWrap w:val="0"/>
            <w:vAlign w:val="center"/>
          </w:tcPr>
          <w:p w14:paraId="5F55996E">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参选函格式规定签字</w:t>
            </w:r>
            <w:r>
              <w:rPr>
                <w:rFonts w:hint="eastAsia" w:ascii="宋体" w:hAnsi="宋体"/>
                <w:kern w:val="0"/>
                <w:highlight w:val="none"/>
              </w:rPr>
              <w:t>、</w:t>
            </w:r>
            <w:r>
              <w:rPr>
                <w:rFonts w:ascii="宋体" w:hAnsi="宋体"/>
                <w:kern w:val="0"/>
                <w:highlight w:val="none"/>
              </w:rPr>
              <w:t>盖章的位置有法定代表人或其委托代理人签字（或盖章）、加盖单位公章。</w:t>
            </w:r>
          </w:p>
        </w:tc>
      </w:tr>
      <w:tr w14:paraId="714702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5E30659F">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25586F36">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30B46BD9">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参选文件格式</w:t>
            </w:r>
          </w:p>
        </w:tc>
        <w:tc>
          <w:tcPr>
            <w:tcW w:w="5794" w:type="dxa"/>
            <w:noWrap w:val="0"/>
            <w:vAlign w:val="center"/>
          </w:tcPr>
          <w:p w14:paraId="43F5FED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rPr>
              <w:t>参选人须知</w:t>
            </w:r>
            <w:r>
              <w:rPr>
                <w:rFonts w:ascii="宋体" w:hAnsi="宋体"/>
                <w:kern w:val="0"/>
                <w:highlight w:val="none"/>
              </w:rPr>
              <w:t>”的要求。</w:t>
            </w:r>
          </w:p>
        </w:tc>
      </w:tr>
      <w:tr w14:paraId="63550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397BBCAB">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3B93A122">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4A1B2B98">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参选文件份数</w:t>
            </w:r>
          </w:p>
        </w:tc>
        <w:tc>
          <w:tcPr>
            <w:tcW w:w="5794" w:type="dxa"/>
            <w:noWrap w:val="0"/>
            <w:vAlign w:val="center"/>
          </w:tcPr>
          <w:p w14:paraId="247ED54C">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符合第二章“参选人须知”规定。</w:t>
            </w:r>
          </w:p>
        </w:tc>
      </w:tr>
      <w:tr w14:paraId="75C9DE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6D6745B4">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2650CFEA">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138DA5AC">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报价唯一</w:t>
            </w:r>
          </w:p>
        </w:tc>
        <w:tc>
          <w:tcPr>
            <w:tcW w:w="5794" w:type="dxa"/>
            <w:noWrap w:val="0"/>
            <w:vAlign w:val="center"/>
          </w:tcPr>
          <w:p w14:paraId="223F871D">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lang w:val="en-US" w:eastAsia="zh-CN"/>
              </w:rPr>
              <w:t>安装工程设计费报价和工程费报价均</w:t>
            </w:r>
            <w:r>
              <w:rPr>
                <w:rFonts w:ascii="宋体" w:hAnsi="宋体"/>
                <w:kern w:val="0"/>
                <w:highlight w:val="none"/>
              </w:rPr>
              <w:t>只能有一个有效报价，在比选文件没有规定的情况下，不得提交选择性报价。</w:t>
            </w:r>
          </w:p>
        </w:tc>
      </w:tr>
      <w:tr w14:paraId="486C96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7675AA33">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15988E31">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63ACF68F">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参选文件的签署</w:t>
            </w:r>
          </w:p>
        </w:tc>
        <w:tc>
          <w:tcPr>
            <w:tcW w:w="5794" w:type="dxa"/>
            <w:noWrap w:val="0"/>
            <w:vAlign w:val="center"/>
          </w:tcPr>
          <w:p w14:paraId="56F4F28E">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第</w:t>
            </w:r>
            <w:r>
              <w:rPr>
                <w:rFonts w:hint="eastAsia" w:ascii="宋体" w:hAnsi="宋体"/>
                <w:kern w:val="0"/>
                <w:highlight w:val="none"/>
                <w:lang w:val="en-US" w:eastAsia="zh-CN"/>
              </w:rPr>
              <w:t>五</w:t>
            </w:r>
            <w:r>
              <w:rPr>
                <w:rFonts w:hint="eastAsia" w:ascii="宋体" w:hAnsi="宋体"/>
                <w:kern w:val="0"/>
                <w:highlight w:val="none"/>
              </w:rPr>
              <w:t xml:space="preserve">章 </w:t>
            </w:r>
            <w:r>
              <w:rPr>
                <w:rFonts w:ascii="宋体" w:hAnsi="宋体"/>
                <w:kern w:val="0"/>
                <w:highlight w:val="none"/>
              </w:rPr>
              <w:t>参选文件</w:t>
            </w:r>
            <w:r>
              <w:rPr>
                <w:rFonts w:hint="eastAsia" w:ascii="宋体" w:hAnsi="宋体"/>
                <w:kern w:val="0"/>
                <w:highlight w:val="none"/>
              </w:rPr>
              <w:t>格式要求</w:t>
            </w:r>
            <w:r>
              <w:rPr>
                <w:rFonts w:ascii="宋体" w:hAnsi="宋体"/>
                <w:kern w:val="0"/>
                <w:highlight w:val="none"/>
              </w:rPr>
              <w:t>法定代表人或其委托代理人签字（或盖章）</w:t>
            </w:r>
            <w:r>
              <w:rPr>
                <w:rFonts w:hint="eastAsia" w:ascii="宋体" w:hAnsi="宋体"/>
                <w:kern w:val="0"/>
                <w:highlight w:val="none"/>
              </w:rPr>
              <w:t>的须</w:t>
            </w:r>
            <w:r>
              <w:rPr>
                <w:rFonts w:ascii="宋体" w:hAnsi="宋体"/>
                <w:kern w:val="0"/>
                <w:highlight w:val="none"/>
              </w:rPr>
              <w:t>齐全。</w:t>
            </w:r>
          </w:p>
        </w:tc>
      </w:tr>
      <w:tr w14:paraId="1C6FBA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vMerge w:val="restart"/>
            <w:noWrap w:val="0"/>
            <w:vAlign w:val="center"/>
          </w:tcPr>
          <w:p w14:paraId="62D98273">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2.1.3</w:t>
            </w:r>
          </w:p>
        </w:tc>
        <w:tc>
          <w:tcPr>
            <w:tcW w:w="992" w:type="dxa"/>
            <w:vMerge w:val="restart"/>
            <w:noWrap w:val="0"/>
            <w:vAlign w:val="center"/>
          </w:tcPr>
          <w:p w14:paraId="5CD7DD97">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响应性评审标准</w:t>
            </w:r>
          </w:p>
        </w:tc>
        <w:tc>
          <w:tcPr>
            <w:tcW w:w="1690" w:type="dxa"/>
            <w:noWrap w:val="0"/>
            <w:vAlign w:val="center"/>
          </w:tcPr>
          <w:p w14:paraId="39A40651">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参选报价</w:t>
            </w:r>
          </w:p>
        </w:tc>
        <w:tc>
          <w:tcPr>
            <w:tcW w:w="5794" w:type="dxa"/>
            <w:noWrap w:val="0"/>
            <w:vAlign w:val="center"/>
          </w:tcPr>
          <w:p w14:paraId="1C4B1E48">
            <w:pPr>
              <w:pageBreakBefore w:val="0"/>
              <w:widowControl/>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b w:val="0"/>
                <w:bCs w:val="0"/>
                <w:color w:val="auto"/>
                <w:kern w:val="0"/>
                <w:szCs w:val="24"/>
                <w:highlight w:val="none"/>
              </w:rPr>
            </w:pPr>
            <w:r>
              <w:rPr>
                <w:rFonts w:hint="eastAsia" w:ascii="宋体" w:hAnsi="宋体"/>
                <w:kern w:val="0"/>
                <w:highlight w:val="none"/>
                <w:lang w:val="en-US" w:eastAsia="zh-CN"/>
              </w:rPr>
              <w:t>安装工程设计费和工程费</w:t>
            </w:r>
            <w:r>
              <w:rPr>
                <w:rFonts w:ascii="宋体" w:hAnsi="宋体"/>
                <w:kern w:val="0"/>
                <w:highlight w:val="none"/>
              </w:rPr>
              <w:t>参选报价均不得高于比选人公布的参选报价最高限价</w:t>
            </w:r>
            <w:r>
              <w:rPr>
                <w:rFonts w:hint="eastAsia" w:ascii="宋体" w:hAnsi="宋体"/>
                <w:kern w:val="0"/>
                <w:highlight w:val="none"/>
                <w:lang w:eastAsia="zh-CN"/>
              </w:rPr>
              <w:t>，</w:t>
            </w:r>
            <w:r>
              <w:rPr>
                <w:rFonts w:hint="eastAsia" w:ascii="宋体" w:hAnsi="宋体"/>
                <w:kern w:val="0"/>
                <w:highlight w:val="none"/>
                <w:lang w:val="en-US" w:eastAsia="zh-CN"/>
              </w:rPr>
              <w:t>报价应符合第二章第3.1款“</w:t>
            </w:r>
            <w:r>
              <w:rPr>
                <w:rFonts w:hint="eastAsia" w:ascii="宋体" w:hAnsi="宋体"/>
                <w:b w:val="0"/>
                <w:bCs w:val="0"/>
                <w:color w:val="auto"/>
                <w:kern w:val="0"/>
                <w:szCs w:val="24"/>
                <w:highlight w:val="none"/>
              </w:rPr>
              <w:t>报价文件编制要求</w:t>
            </w:r>
            <w:r>
              <w:rPr>
                <w:rFonts w:hint="eastAsia" w:ascii="宋体" w:hAnsi="宋体"/>
                <w:kern w:val="0"/>
                <w:highlight w:val="none"/>
                <w:lang w:val="en-US" w:eastAsia="zh-CN"/>
              </w:rPr>
              <w:t>”</w:t>
            </w:r>
            <w:r>
              <w:rPr>
                <w:rFonts w:hint="eastAsia" w:ascii="宋体" w:hAnsi="宋体"/>
                <w:b w:val="0"/>
                <w:bCs w:val="0"/>
                <w:kern w:val="0"/>
                <w:szCs w:val="24"/>
                <w:highlight w:val="none"/>
                <w:lang w:eastAsia="zh-CN"/>
              </w:rPr>
              <w:t>。</w:t>
            </w:r>
          </w:p>
          <w:p w14:paraId="53279CBE">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kern w:val="0"/>
                <w:highlight w:val="none"/>
                <w:lang w:val="en-US" w:eastAsia="zh-CN"/>
              </w:rPr>
            </w:pPr>
          </w:p>
        </w:tc>
      </w:tr>
      <w:tr w14:paraId="42C76F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center"/>
          </w:tcPr>
          <w:p w14:paraId="5885AA24">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992" w:type="dxa"/>
            <w:vMerge w:val="continue"/>
            <w:noWrap w:val="0"/>
            <w:textDirection w:val="tbRlV"/>
            <w:vAlign w:val="center"/>
          </w:tcPr>
          <w:p w14:paraId="5BE674D5">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1690" w:type="dxa"/>
            <w:noWrap w:val="0"/>
            <w:vAlign w:val="center"/>
          </w:tcPr>
          <w:p w14:paraId="7738E936">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参选内容</w:t>
            </w:r>
          </w:p>
        </w:tc>
        <w:tc>
          <w:tcPr>
            <w:tcW w:w="5794" w:type="dxa"/>
            <w:noWrap w:val="0"/>
            <w:vAlign w:val="center"/>
          </w:tcPr>
          <w:p w14:paraId="7B3C4FB8">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第一章、</w:t>
            </w:r>
            <w:r>
              <w:rPr>
                <w:rFonts w:ascii="宋体" w:hAnsi="宋体"/>
                <w:kern w:val="0"/>
                <w:highlight w:val="none"/>
              </w:rPr>
              <w:t>第二章</w:t>
            </w:r>
            <w:r>
              <w:rPr>
                <w:rFonts w:hint="eastAsia" w:ascii="宋体" w:hAnsi="宋体"/>
                <w:kern w:val="0"/>
                <w:highlight w:val="none"/>
              </w:rPr>
              <w:t>相关</w:t>
            </w:r>
            <w:r>
              <w:rPr>
                <w:rFonts w:ascii="宋体" w:hAnsi="宋体"/>
                <w:kern w:val="0"/>
                <w:highlight w:val="none"/>
              </w:rPr>
              <w:t>规定</w:t>
            </w:r>
          </w:p>
        </w:tc>
      </w:tr>
      <w:tr w14:paraId="041FBD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26D1565F">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992" w:type="dxa"/>
            <w:vMerge w:val="continue"/>
            <w:noWrap w:val="0"/>
            <w:vAlign w:val="top"/>
          </w:tcPr>
          <w:p w14:paraId="528978B5">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1690" w:type="dxa"/>
            <w:noWrap w:val="0"/>
            <w:vAlign w:val="center"/>
          </w:tcPr>
          <w:p w14:paraId="4A3B5F78">
            <w:pPr>
              <w:keepNext w:val="0"/>
              <w:keepLines w:val="0"/>
              <w:pageBreakBefore w:val="0"/>
              <w:kinsoku/>
              <w:wordWrap/>
              <w:overflowPunct/>
              <w:topLinePunct w:val="0"/>
              <w:bidi w:val="0"/>
              <w:adjustRightInd/>
              <w:snapToGrid/>
              <w:spacing w:line="400" w:lineRule="exact"/>
              <w:textAlignment w:val="auto"/>
              <w:rPr>
                <w:rFonts w:ascii="宋体" w:hAnsi="宋体"/>
                <w:kern w:val="0"/>
                <w:highlight w:val="none"/>
              </w:rPr>
            </w:pPr>
            <w:r>
              <w:rPr>
                <w:rFonts w:hint="eastAsia" w:ascii="宋体" w:hAnsi="宋体"/>
                <w:kern w:val="0"/>
                <w:highlight w:val="none"/>
              </w:rPr>
              <w:t>工期</w:t>
            </w:r>
          </w:p>
        </w:tc>
        <w:tc>
          <w:tcPr>
            <w:tcW w:w="5794" w:type="dxa"/>
            <w:noWrap w:val="0"/>
            <w:vAlign w:val="center"/>
          </w:tcPr>
          <w:p w14:paraId="5D9B105F">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hint="eastAsia" w:ascii="宋体" w:hAnsi="宋体"/>
                <w:kern w:val="0"/>
                <w:highlight w:val="none"/>
              </w:rPr>
              <w:t>符合第一章、第二章相关规定</w:t>
            </w:r>
          </w:p>
        </w:tc>
      </w:tr>
      <w:tr w14:paraId="18036A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5D490270">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992" w:type="dxa"/>
            <w:vMerge w:val="continue"/>
            <w:noWrap w:val="0"/>
            <w:vAlign w:val="top"/>
          </w:tcPr>
          <w:p w14:paraId="26281F52">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1690" w:type="dxa"/>
            <w:noWrap w:val="0"/>
            <w:vAlign w:val="center"/>
          </w:tcPr>
          <w:p w14:paraId="36A85BBF">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权利义务</w:t>
            </w:r>
          </w:p>
        </w:tc>
        <w:tc>
          <w:tcPr>
            <w:tcW w:w="5794" w:type="dxa"/>
            <w:noWrap w:val="0"/>
            <w:vAlign w:val="center"/>
          </w:tcPr>
          <w:p w14:paraId="55A9875D">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符合第四章“</w:t>
            </w:r>
            <w:r>
              <w:rPr>
                <w:rFonts w:hint="eastAsia" w:ascii="宋体" w:hAnsi="宋体"/>
                <w:kern w:val="0"/>
                <w:highlight w:val="none"/>
              </w:rPr>
              <w:t>合同主要条款</w:t>
            </w:r>
            <w:r>
              <w:rPr>
                <w:rFonts w:ascii="宋体" w:hAnsi="宋体"/>
                <w:kern w:val="0"/>
                <w:highlight w:val="none"/>
              </w:rPr>
              <w:t>”规定，参选文件不应附有比选人不能接受的条件。</w:t>
            </w:r>
          </w:p>
        </w:tc>
      </w:tr>
      <w:tr w14:paraId="0687A3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2813698F">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692FA5AD">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noWrap w:val="0"/>
            <w:vAlign w:val="center"/>
          </w:tcPr>
          <w:p w14:paraId="1C324E90">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实质性要求</w:t>
            </w:r>
          </w:p>
        </w:tc>
        <w:tc>
          <w:tcPr>
            <w:tcW w:w="5794" w:type="dxa"/>
            <w:noWrap w:val="0"/>
            <w:vAlign w:val="center"/>
          </w:tcPr>
          <w:p w14:paraId="6978159B">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符合第二章“参选人须知”。</w:t>
            </w:r>
          </w:p>
          <w:p w14:paraId="0EBA7AE8">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本次参选不得有串通参选</w:t>
            </w:r>
            <w:r>
              <w:rPr>
                <w:rFonts w:ascii="宋体" w:hAnsi="宋体"/>
                <w:kern w:val="0"/>
                <w:highlight w:val="none"/>
              </w:rPr>
              <w:t>、弄虚作假等其他违反招参选相关法律、法规行为。</w:t>
            </w:r>
          </w:p>
          <w:p w14:paraId="16D0B2FF">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cs="宋体"/>
                <w:kern w:val="0"/>
                <w:highlight w:val="none"/>
              </w:rPr>
              <w:t>按公开比选委员会要求澄清、说明或补正。</w:t>
            </w:r>
          </w:p>
        </w:tc>
      </w:tr>
      <w:tr w14:paraId="1FD14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1986" w:type="dxa"/>
            <w:gridSpan w:val="2"/>
            <w:noWrap w:val="0"/>
            <w:vAlign w:val="center"/>
          </w:tcPr>
          <w:p w14:paraId="2A430F51">
            <w:pPr>
              <w:keepNext w:val="0"/>
              <w:keepLines w:val="0"/>
              <w:pageBreakBefore w:val="0"/>
              <w:kinsoku/>
              <w:wordWrap/>
              <w:overflowPunct/>
              <w:topLinePunct w:val="0"/>
              <w:bidi w:val="0"/>
              <w:adjustRightInd/>
              <w:snapToGrid/>
              <w:spacing w:line="400" w:lineRule="exact"/>
              <w:ind w:firstLine="210" w:firstLineChars="100"/>
              <w:jc w:val="center"/>
              <w:textAlignment w:val="auto"/>
              <w:rPr>
                <w:rFonts w:ascii="宋体" w:hAnsi="宋体"/>
                <w:kern w:val="0"/>
                <w:highlight w:val="none"/>
              </w:rPr>
            </w:pPr>
            <w:r>
              <w:rPr>
                <w:rFonts w:ascii="宋体" w:hAnsi="宋体"/>
                <w:kern w:val="0"/>
                <w:highlight w:val="none"/>
              </w:rPr>
              <w:t>2.2.1</w:t>
            </w:r>
          </w:p>
        </w:tc>
        <w:tc>
          <w:tcPr>
            <w:tcW w:w="1690" w:type="dxa"/>
            <w:noWrap w:val="0"/>
            <w:vAlign w:val="center"/>
          </w:tcPr>
          <w:p w14:paraId="3F264084">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794" w:type="dxa"/>
            <w:noWrap w:val="0"/>
            <w:vAlign w:val="center"/>
          </w:tcPr>
          <w:p w14:paraId="52222CE9">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1.</w:t>
            </w:r>
            <w:r>
              <w:rPr>
                <w:rFonts w:hint="eastAsia" w:ascii="宋体" w:hAnsi="宋体"/>
                <w:kern w:val="0"/>
                <w:highlight w:val="none"/>
              </w:rPr>
              <w:t>技术部分</w:t>
            </w:r>
            <w:r>
              <w:rPr>
                <w:rFonts w:hint="eastAsia" w:ascii="宋体" w:hAnsi="宋体"/>
                <w:kern w:val="0"/>
                <w:highlight w:val="none"/>
                <w:lang w:val="en-US" w:eastAsia="zh-CN"/>
              </w:rPr>
              <w:t>40</w:t>
            </w:r>
            <w:r>
              <w:rPr>
                <w:rFonts w:ascii="宋体" w:hAnsi="宋体"/>
                <w:kern w:val="0"/>
                <w:highlight w:val="none"/>
              </w:rPr>
              <w:t>分</w:t>
            </w:r>
            <w:r>
              <w:rPr>
                <w:rFonts w:hint="eastAsia" w:ascii="宋体" w:hAnsi="宋体"/>
                <w:kern w:val="0"/>
                <w:highlight w:val="none"/>
              </w:rPr>
              <w:t>；</w:t>
            </w:r>
          </w:p>
          <w:p w14:paraId="688CACF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3.参选</w:t>
            </w:r>
            <w:r>
              <w:rPr>
                <w:rFonts w:hint="eastAsia" w:ascii="宋体" w:hAnsi="宋体"/>
                <w:kern w:val="0"/>
                <w:highlight w:val="none"/>
              </w:rPr>
              <w:t>报价</w:t>
            </w:r>
            <w:r>
              <w:rPr>
                <w:rFonts w:ascii="宋体" w:hAnsi="宋体"/>
                <w:kern w:val="0"/>
                <w:highlight w:val="none"/>
              </w:rPr>
              <w:t>60</w:t>
            </w:r>
            <w:r>
              <w:rPr>
                <w:rFonts w:hint="eastAsia" w:ascii="宋体" w:hAnsi="宋体"/>
                <w:kern w:val="0"/>
                <w:highlight w:val="none"/>
              </w:rPr>
              <w:t>分</w:t>
            </w:r>
            <w:r>
              <w:rPr>
                <w:rFonts w:hint="eastAsia" w:ascii="宋体" w:hAnsi="宋体"/>
                <w:kern w:val="0"/>
                <w:highlight w:val="none"/>
                <w:lang w:eastAsia="zh-CN"/>
              </w:rPr>
              <w:t>（</w:t>
            </w:r>
            <w:r>
              <w:rPr>
                <w:rFonts w:hint="eastAsia" w:ascii="宋体" w:hAnsi="宋体"/>
                <w:kern w:val="0"/>
                <w:highlight w:val="none"/>
                <w:lang w:val="en-US" w:eastAsia="zh-CN"/>
              </w:rPr>
              <w:t>其中安装工程设计费报价5分；工程费报价55分</w:t>
            </w:r>
            <w:r>
              <w:rPr>
                <w:rFonts w:hint="eastAsia" w:ascii="宋体" w:hAnsi="宋体"/>
                <w:kern w:val="0"/>
                <w:highlight w:val="none"/>
                <w:lang w:eastAsia="zh-CN"/>
              </w:rPr>
              <w:t>）</w:t>
            </w:r>
            <w:r>
              <w:rPr>
                <w:rFonts w:hint="eastAsia" w:ascii="宋体" w:hAnsi="宋体"/>
                <w:kern w:val="0"/>
                <w:highlight w:val="none"/>
              </w:rPr>
              <w:t>。</w:t>
            </w:r>
          </w:p>
        </w:tc>
      </w:tr>
      <w:tr w14:paraId="6FDB3D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994" w:type="dxa"/>
            <w:tcBorders>
              <w:right w:val="single" w:color="auto" w:sz="4" w:space="0"/>
            </w:tcBorders>
            <w:noWrap w:val="0"/>
            <w:vAlign w:val="center"/>
          </w:tcPr>
          <w:p w14:paraId="7532A9F0">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2.2.2（1）</w:t>
            </w:r>
          </w:p>
        </w:tc>
        <w:tc>
          <w:tcPr>
            <w:tcW w:w="992" w:type="dxa"/>
            <w:tcBorders>
              <w:left w:val="single" w:color="auto" w:sz="4" w:space="0"/>
            </w:tcBorders>
            <w:noWrap w:val="0"/>
            <w:vAlign w:val="center"/>
          </w:tcPr>
          <w:p w14:paraId="45456D4B">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技术部分评分标准</w:t>
            </w:r>
          </w:p>
        </w:tc>
        <w:tc>
          <w:tcPr>
            <w:tcW w:w="1690" w:type="dxa"/>
            <w:noWrap w:val="0"/>
            <w:vAlign w:val="center"/>
          </w:tcPr>
          <w:p w14:paraId="4E87C225">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技术</w:t>
            </w:r>
            <w:r>
              <w:rPr>
                <w:rFonts w:hint="eastAsia" w:ascii="宋体" w:hAnsi="宋体"/>
                <w:kern w:val="0"/>
                <w:highlight w:val="none"/>
              </w:rPr>
              <w:t>部分</w:t>
            </w:r>
            <w:r>
              <w:rPr>
                <w:rFonts w:ascii="宋体" w:hAnsi="宋体"/>
                <w:kern w:val="0"/>
                <w:highlight w:val="none"/>
              </w:rPr>
              <w:t>评审</w:t>
            </w:r>
            <w:r>
              <w:rPr>
                <w:rFonts w:hint="eastAsia" w:ascii="宋体" w:hAnsi="宋体"/>
                <w:kern w:val="0"/>
                <w:highlight w:val="none"/>
              </w:rPr>
              <w:t>标准</w:t>
            </w:r>
          </w:p>
        </w:tc>
        <w:tc>
          <w:tcPr>
            <w:tcW w:w="5794" w:type="dxa"/>
            <w:noWrap w:val="0"/>
            <w:vAlign w:val="top"/>
          </w:tcPr>
          <w:p w14:paraId="34364E91">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宋体" w:hAnsi="宋体"/>
                <w:snapToGrid w:val="0"/>
                <w:color w:val="000000"/>
                <w:kern w:val="0"/>
                <w:szCs w:val="21"/>
                <w:highlight w:val="none"/>
                <w:u w:val="single"/>
                <w:lang w:val="en-US" w:eastAsia="zh-CN"/>
              </w:rPr>
            </w:pPr>
            <w:r>
              <w:rPr>
                <w:rFonts w:hint="eastAsia" w:ascii="宋体" w:hAnsi="宋体"/>
                <w:kern w:val="0"/>
                <w:highlight w:val="none"/>
                <w:u w:val="none"/>
              </w:rPr>
              <w:t>根据必要的现状调查、市场调查及自身对项目的理解</w:t>
            </w:r>
            <w:r>
              <w:rPr>
                <w:rFonts w:hint="eastAsia" w:ascii="宋体" w:hAnsi="宋体"/>
                <w:kern w:val="0"/>
                <w:highlight w:val="none"/>
                <w:u w:val="none"/>
                <w:lang w:eastAsia="zh-CN"/>
              </w:rPr>
              <w:t>，</w:t>
            </w:r>
            <w:r>
              <w:rPr>
                <w:rFonts w:hint="eastAsia" w:ascii="宋体" w:hAnsi="宋体"/>
                <w:snapToGrid w:val="0"/>
                <w:color w:val="000000"/>
                <w:kern w:val="0"/>
                <w:szCs w:val="21"/>
                <w:highlight w:val="none"/>
                <w:u w:val="none"/>
                <w:lang w:val="en-US" w:eastAsia="zh-CN"/>
              </w:rPr>
              <w:t>综合项目现状编制参选技术方案，内容包括但不限于：该项目参选人须对项目现状进行初步勘测、调查、评估（参选人自行组织踏勘调研），对本次参选项目所涉及内容有基础了解，综合项目现状编制参选技术方案，内容包括但不限于：</w:t>
            </w:r>
            <w:r>
              <w:rPr>
                <w:rFonts w:hint="eastAsia" w:ascii="宋体" w:hAnsi="宋体"/>
                <w:snapToGrid w:val="0"/>
                <w:color w:val="000000"/>
                <w:kern w:val="0"/>
                <w:szCs w:val="21"/>
                <w:highlight w:val="none"/>
                <w:u w:val="single"/>
                <w:lang w:val="en-US" w:eastAsia="zh-CN"/>
              </w:rPr>
              <w:t>一是对</w:t>
            </w:r>
            <w:r>
              <w:rPr>
                <w:rFonts w:hint="eastAsia" w:ascii="宋体" w:hAnsi="宋体"/>
                <w:snapToGrid w:val="0"/>
                <w:kern w:val="0"/>
                <w:szCs w:val="21"/>
                <w:highlight w:val="none"/>
                <w:u w:val="single"/>
                <w:lang w:val="en-US" w:eastAsia="zh-CN"/>
              </w:rPr>
              <w:t>阿依河景区岩头坝区域室外景观6个主要景观节点的灯光系统、扩声系统</w:t>
            </w:r>
            <w:r>
              <w:rPr>
                <w:rFonts w:hint="eastAsia" w:ascii="宋体" w:hAnsi="宋体"/>
                <w:snapToGrid w:val="0"/>
                <w:color w:val="000000"/>
                <w:kern w:val="0"/>
                <w:szCs w:val="21"/>
                <w:highlight w:val="none"/>
                <w:u w:val="single"/>
                <w:lang w:val="en-US" w:eastAsia="zh-CN"/>
              </w:rPr>
              <w:t>、控制及传声系统的设置提出设计布局思路、所达到的效果，以及技术服务工作大纲。二是在工程施作方面需要提供施工方案。格式自拟。</w:t>
            </w:r>
          </w:p>
          <w:p w14:paraId="76B1890E">
            <w:pPr>
              <w:keepNext w:val="0"/>
              <w:keepLines w:val="0"/>
              <w:pageBreakBefore w:val="0"/>
              <w:widowControl/>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lang w:val="en-US" w:eastAsia="zh-CN"/>
              </w:rPr>
              <w:t>综合评价后按如下标准打分：</w:t>
            </w:r>
            <w:r>
              <w:rPr>
                <w:rFonts w:hint="eastAsia" w:ascii="宋体" w:hAnsi="宋体"/>
              </w:rPr>
              <w:t>优：</w:t>
            </w:r>
            <w:r>
              <w:rPr>
                <w:rFonts w:hint="eastAsia" w:ascii="宋体" w:hAnsi="宋体"/>
                <w:lang w:val="en-US" w:eastAsia="zh-CN"/>
              </w:rPr>
              <w:t>40-30</w:t>
            </w:r>
            <w:r>
              <w:rPr>
                <w:rFonts w:hint="eastAsia" w:ascii="宋体" w:hAnsi="宋体"/>
              </w:rPr>
              <w:t>分</w:t>
            </w:r>
            <w:r>
              <w:rPr>
                <w:rFonts w:hint="eastAsia" w:ascii="宋体" w:hAnsi="宋体"/>
                <w:lang w:eastAsia="zh-CN"/>
              </w:rPr>
              <w:t>；</w:t>
            </w:r>
            <w:r>
              <w:rPr>
                <w:rFonts w:hint="eastAsia" w:ascii="宋体" w:hAnsi="宋体"/>
              </w:rPr>
              <w:t>良：</w:t>
            </w:r>
            <w:r>
              <w:rPr>
                <w:rFonts w:hint="eastAsia" w:ascii="宋体" w:hAnsi="宋体"/>
                <w:lang w:val="en-US" w:eastAsia="zh-CN"/>
              </w:rPr>
              <w:t>30（不含）</w:t>
            </w:r>
            <w:r>
              <w:rPr>
                <w:rFonts w:hint="eastAsia" w:ascii="宋体" w:hAnsi="宋体"/>
              </w:rPr>
              <w:t>-</w:t>
            </w:r>
            <w:r>
              <w:rPr>
                <w:rFonts w:hint="eastAsia" w:ascii="宋体" w:hAnsi="宋体"/>
                <w:lang w:val="en-US" w:eastAsia="zh-CN"/>
              </w:rPr>
              <w:t>15</w:t>
            </w:r>
            <w:r>
              <w:rPr>
                <w:rFonts w:hint="eastAsia" w:ascii="宋体" w:hAnsi="宋体"/>
              </w:rPr>
              <w:t>分</w:t>
            </w:r>
            <w:r>
              <w:rPr>
                <w:rFonts w:hint="eastAsia" w:ascii="宋体" w:hAnsi="宋体"/>
                <w:lang w:eastAsia="zh-CN"/>
              </w:rPr>
              <w:t>；</w:t>
            </w:r>
            <w:r>
              <w:rPr>
                <w:rFonts w:hint="eastAsia" w:ascii="宋体" w:hAnsi="宋体"/>
              </w:rPr>
              <w:t>一般：</w:t>
            </w:r>
            <w:r>
              <w:rPr>
                <w:rFonts w:hint="eastAsia" w:ascii="宋体" w:hAnsi="宋体"/>
                <w:lang w:val="en-US" w:eastAsia="zh-CN"/>
              </w:rPr>
              <w:t>15（不含）-5</w:t>
            </w:r>
            <w:r>
              <w:rPr>
                <w:rFonts w:hint="eastAsia" w:ascii="宋体" w:hAnsi="宋体"/>
              </w:rPr>
              <w:t>分,差：</w:t>
            </w:r>
            <w:r>
              <w:rPr>
                <w:rFonts w:hint="eastAsia" w:ascii="宋体" w:hAnsi="宋体"/>
                <w:lang w:val="en-US" w:eastAsia="zh-CN"/>
              </w:rPr>
              <w:t>5分</w:t>
            </w:r>
            <w:r>
              <w:rPr>
                <w:rFonts w:hint="eastAsia" w:ascii="宋体" w:hAnsi="宋体"/>
              </w:rPr>
              <w:t>(不含)</w:t>
            </w:r>
            <w:r>
              <w:rPr>
                <w:rFonts w:hint="eastAsia" w:ascii="宋体" w:hAnsi="宋体"/>
                <w:lang w:val="en-US" w:eastAsia="zh-CN"/>
              </w:rPr>
              <w:t>-0</w:t>
            </w:r>
            <w:r>
              <w:rPr>
                <w:rFonts w:hint="eastAsia" w:ascii="宋体" w:hAnsi="宋体"/>
              </w:rPr>
              <w:t>分</w:t>
            </w:r>
            <w:r>
              <w:rPr>
                <w:rFonts w:hint="eastAsia" w:ascii="宋体" w:hAnsi="宋体"/>
                <w:lang w:eastAsia="zh-CN"/>
              </w:rPr>
              <w:t>。</w:t>
            </w:r>
          </w:p>
        </w:tc>
      </w:tr>
      <w:tr w14:paraId="66895F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noWrap w:val="0"/>
            <w:vAlign w:val="center"/>
          </w:tcPr>
          <w:p w14:paraId="2C0BB8D6">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3</w:t>
            </w:r>
          </w:p>
        </w:tc>
        <w:tc>
          <w:tcPr>
            <w:tcW w:w="992" w:type="dxa"/>
            <w:noWrap w:val="0"/>
            <w:vAlign w:val="center"/>
          </w:tcPr>
          <w:p w14:paraId="6C59B761">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评标程序</w:t>
            </w:r>
          </w:p>
        </w:tc>
        <w:tc>
          <w:tcPr>
            <w:tcW w:w="7484" w:type="dxa"/>
            <w:gridSpan w:val="2"/>
            <w:noWrap w:val="0"/>
            <w:vAlign w:val="top"/>
          </w:tcPr>
          <w:p w14:paraId="36A4A55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1.资格不满足要求或公开比选委员会认定为无效的参选文件的不进行后续评审。</w:t>
            </w:r>
          </w:p>
          <w:p w14:paraId="471F083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2.按本章评标办法前附表第2.2.2项及第3.2.1目的规定对参选文件进行评审。</w:t>
            </w:r>
          </w:p>
          <w:p w14:paraId="76C2A4E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3</w:t>
            </w:r>
            <w:r>
              <w:rPr>
                <w:rFonts w:hint="eastAsia" w:ascii="宋体" w:hAnsi="宋体"/>
                <w:szCs w:val="21"/>
                <w:highlight w:val="none"/>
              </w:rPr>
              <w:t>.对初步评审合格的参选人按照本附表第3.2.1（</w:t>
            </w:r>
            <w:r>
              <w:rPr>
                <w:rFonts w:ascii="宋体" w:hAnsi="宋体"/>
                <w:szCs w:val="21"/>
                <w:highlight w:val="none"/>
              </w:rPr>
              <w:t>3</w:t>
            </w:r>
            <w:r>
              <w:rPr>
                <w:rFonts w:hint="eastAsia" w:ascii="宋体" w:hAnsi="宋体"/>
                <w:szCs w:val="21"/>
                <w:highlight w:val="none"/>
              </w:rPr>
              <w:t>）目规定的评分方法对参选报价进行评分。</w:t>
            </w:r>
          </w:p>
          <w:p w14:paraId="54FB15E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4</w:t>
            </w:r>
            <w:r>
              <w:rPr>
                <w:rFonts w:hint="eastAsia" w:ascii="宋体" w:hAnsi="宋体"/>
                <w:szCs w:val="21"/>
                <w:highlight w:val="none"/>
              </w:rPr>
              <w:t>.对技术部分、商务部分、参选报价得分进行汇总，确定得分由高至低前三名参选人为中选候选人。</w:t>
            </w:r>
          </w:p>
        </w:tc>
      </w:tr>
      <w:tr w14:paraId="5994C2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4" w:type="dxa"/>
            <w:noWrap w:val="0"/>
            <w:vAlign w:val="center"/>
          </w:tcPr>
          <w:p w14:paraId="0F933B62">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3.2.1</w:t>
            </w:r>
          </w:p>
          <w:p w14:paraId="435078B9">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992" w:type="dxa"/>
            <w:noWrap w:val="0"/>
            <w:vAlign w:val="center"/>
          </w:tcPr>
          <w:p w14:paraId="5588AE6F">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r>
              <w:rPr>
                <w:rFonts w:ascii="宋体" w:hAnsi="宋体"/>
                <w:spacing w:val="-4"/>
                <w:highlight w:val="none"/>
              </w:rPr>
              <w:t>=</w:t>
            </w:r>
            <w:r>
              <w:rPr>
                <w:rFonts w:hint="eastAsia" w:ascii="宋体" w:hAnsi="宋体"/>
                <w:spacing w:val="-4"/>
                <w:highlight w:val="none"/>
                <w:lang w:val="en-US" w:eastAsia="zh-CN"/>
              </w:rPr>
              <w:t>40</w:t>
            </w:r>
            <w:r>
              <w:rPr>
                <w:rFonts w:ascii="宋体" w:hAnsi="宋体"/>
                <w:spacing w:val="-4"/>
                <w:highlight w:val="none"/>
              </w:rPr>
              <w:t>分</w:t>
            </w:r>
            <w:r>
              <w:rPr>
                <w:rFonts w:hint="eastAsia" w:ascii="宋体" w:hAnsi="宋体"/>
                <w:spacing w:val="-4"/>
                <w:highlight w:val="none"/>
              </w:rPr>
              <w:t>）</w:t>
            </w:r>
          </w:p>
        </w:tc>
        <w:tc>
          <w:tcPr>
            <w:tcW w:w="7484" w:type="dxa"/>
            <w:gridSpan w:val="2"/>
            <w:noWrap w:val="0"/>
            <w:vAlign w:val="center"/>
          </w:tcPr>
          <w:p w14:paraId="089E0299">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公开比选委员会</w:t>
            </w:r>
            <w:r>
              <w:rPr>
                <w:rFonts w:ascii="宋体" w:hAnsi="宋体"/>
                <w:szCs w:val="21"/>
                <w:highlight w:val="none"/>
              </w:rPr>
              <w:t>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2（1）</w:t>
            </w:r>
            <w:r>
              <w:rPr>
                <w:rFonts w:ascii="宋体" w:hAnsi="宋体"/>
                <w:szCs w:val="21"/>
                <w:highlight w:val="none"/>
              </w:rPr>
              <w:t>项各评审因素设定的分值评分。</w:t>
            </w:r>
          </w:p>
          <w:p w14:paraId="2D309BCE">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napToGrid w:val="0"/>
                <w:kern w:val="0"/>
                <w:szCs w:val="21"/>
                <w:highlight w:val="none"/>
              </w:rPr>
            </w:pPr>
            <w:r>
              <w:rPr>
                <w:rFonts w:hint="eastAsia" w:ascii="宋体" w:hAnsi="宋体"/>
                <w:snapToGrid w:val="0"/>
                <w:kern w:val="0"/>
                <w:szCs w:val="21"/>
                <w:highlight w:val="none"/>
              </w:rPr>
              <w:t>公开比选委员会</w:t>
            </w:r>
            <w:r>
              <w:rPr>
                <w:rFonts w:ascii="宋体" w:hAnsi="宋体"/>
                <w:snapToGrid w:val="0"/>
                <w:kern w:val="0"/>
                <w:szCs w:val="21"/>
                <w:highlight w:val="none"/>
              </w:rPr>
              <w:t>成员打分取算术平均值为该参选人技术</w:t>
            </w:r>
            <w:r>
              <w:rPr>
                <w:rFonts w:hint="eastAsia" w:ascii="宋体" w:hAnsi="宋体"/>
                <w:snapToGrid w:val="0"/>
                <w:kern w:val="0"/>
                <w:szCs w:val="21"/>
                <w:highlight w:val="none"/>
              </w:rPr>
              <w:t>部分</w:t>
            </w:r>
            <w:r>
              <w:rPr>
                <w:rFonts w:ascii="宋体" w:hAnsi="宋体"/>
                <w:snapToGrid w:val="0"/>
                <w:kern w:val="0"/>
                <w:szCs w:val="21"/>
                <w:highlight w:val="none"/>
              </w:rPr>
              <w:t>得分。</w:t>
            </w:r>
          </w:p>
          <w:p w14:paraId="0FEFC18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得分的最终结果取小数点后两位，第三位四舍五入。</w:t>
            </w:r>
          </w:p>
        </w:tc>
      </w:tr>
      <w:tr w14:paraId="577C61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07" w:hRule="atLeast"/>
          <w:jc w:val="center"/>
        </w:trPr>
        <w:tc>
          <w:tcPr>
            <w:tcW w:w="994" w:type="dxa"/>
            <w:noWrap w:val="0"/>
            <w:vAlign w:val="center"/>
          </w:tcPr>
          <w:p w14:paraId="60F69E80">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3.2.1</w:t>
            </w:r>
          </w:p>
          <w:p w14:paraId="4F2AD5D2">
            <w:pPr>
              <w:keepNext w:val="0"/>
              <w:keepLines w:val="0"/>
              <w:pageBreakBefore w:val="0"/>
              <w:kinsoku/>
              <w:wordWrap/>
              <w:overflowPunct/>
              <w:topLinePunct w:val="0"/>
              <w:bidi w:val="0"/>
              <w:adjustRightInd/>
              <w:snapToGrid/>
              <w:spacing w:line="400" w:lineRule="exact"/>
              <w:jc w:val="center"/>
              <w:textAlignment w:val="auto"/>
              <w:rPr>
                <w:highlight w:val="none"/>
              </w:rPr>
            </w:pPr>
            <w:r>
              <w:rPr>
                <w:rFonts w:hint="eastAsia" w:ascii="宋体" w:hAnsi="宋体"/>
                <w:highlight w:val="none"/>
              </w:rPr>
              <w:t>（3）</w:t>
            </w:r>
          </w:p>
        </w:tc>
        <w:tc>
          <w:tcPr>
            <w:tcW w:w="992" w:type="dxa"/>
            <w:noWrap w:val="0"/>
            <w:vAlign w:val="center"/>
          </w:tcPr>
          <w:p w14:paraId="6655F6E3">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参选报价得分（C</w:t>
            </w:r>
            <w:r>
              <w:rPr>
                <w:rFonts w:ascii="宋体" w:hAnsi="宋体"/>
                <w:spacing w:val="-4"/>
                <w:highlight w:val="none"/>
              </w:rPr>
              <w:t>=60分</w:t>
            </w:r>
            <w:r>
              <w:rPr>
                <w:rFonts w:hint="eastAsia" w:ascii="宋体" w:hAnsi="宋体"/>
                <w:highlight w:val="none"/>
              </w:rPr>
              <w:t>）</w:t>
            </w:r>
          </w:p>
        </w:tc>
        <w:tc>
          <w:tcPr>
            <w:tcW w:w="7484" w:type="dxa"/>
            <w:gridSpan w:val="2"/>
            <w:noWrap w:val="0"/>
            <w:vAlign w:val="center"/>
          </w:tcPr>
          <w:p w14:paraId="3CD4BE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1、所有通过初步评审（</w:t>
            </w:r>
            <w:r>
              <w:rPr>
                <w:rFonts w:hint="eastAsia" w:ascii="宋体" w:hAnsi="宋体" w:eastAsia="宋体" w:cs="宋体"/>
                <w:color w:val="auto"/>
                <w:kern w:val="0"/>
                <w:szCs w:val="21"/>
                <w:highlight w:val="none"/>
                <w:lang w:eastAsia="zh-CN"/>
              </w:rPr>
              <w:t>资格评审、形式评审和响应性评审</w:t>
            </w:r>
            <w:r>
              <w:rPr>
                <w:rFonts w:hint="eastAsia" w:ascii="宋体" w:hAnsi="宋体"/>
                <w:szCs w:val="21"/>
                <w:highlight w:val="none"/>
                <w:lang w:val="en-US" w:eastAsia="zh-CN"/>
              </w:rPr>
              <w:t>）合格的参选人的投标报价为有效报价，有效报价中安装工程设计费报价5分，工程费报价55分。</w:t>
            </w:r>
          </w:p>
          <w:p w14:paraId="5E9D8C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2、安装工程设计费最低报价为安装工程设计费评标基准价，得满分5分，其他安装工程设计费投标报价与评标基准价相比，每增加1%扣0.2分，扣完为止。</w:t>
            </w:r>
          </w:p>
          <w:p w14:paraId="6E17C9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Calibri" w:hAnsi="Calibri" w:eastAsia="宋体" w:cs="Calibri"/>
                <w:color w:val="auto"/>
                <w:kern w:val="0"/>
                <w:szCs w:val="21"/>
                <w:highlight w:val="none"/>
                <w:lang w:val="en-US" w:eastAsia="zh-CN"/>
              </w:rPr>
              <w:t>例如：</w:t>
            </w:r>
            <w:r>
              <w:rPr>
                <w:rFonts w:hint="eastAsia" w:ascii="宋体" w:hAnsi="宋体" w:eastAsia="宋体" w:cs="宋体"/>
                <w:color w:val="auto"/>
                <w:kern w:val="0"/>
                <w:szCs w:val="21"/>
                <w:highlight w:val="none"/>
                <w:lang w:eastAsia="zh-CN"/>
              </w:rPr>
              <w:t>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szCs w:val="21"/>
                <w:highlight w:val="none"/>
                <w:lang w:val="en-US" w:eastAsia="zh-CN"/>
              </w:rPr>
              <w:t>安装工程</w:t>
            </w:r>
            <w:r>
              <w:rPr>
                <w:rFonts w:hint="eastAsia" w:ascii="宋体" w:hAnsi="宋体" w:eastAsia="宋体" w:cs="宋体"/>
                <w:color w:val="auto"/>
                <w:kern w:val="0"/>
                <w:szCs w:val="21"/>
                <w:highlight w:val="none"/>
                <w:lang w:val="en-US" w:eastAsia="zh-CN"/>
              </w:rPr>
              <w:t>设计费</w:t>
            </w:r>
            <w:r>
              <w:rPr>
                <w:rFonts w:hint="eastAsia" w:ascii="宋体" w:hAnsi="宋体" w:eastAsia="宋体" w:cs="宋体"/>
                <w:color w:val="auto"/>
                <w:kern w:val="0"/>
                <w:szCs w:val="21"/>
                <w:highlight w:val="none"/>
                <w:lang w:eastAsia="zh-CN"/>
              </w:rPr>
              <w:t>报价为</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szCs w:val="21"/>
                <w:highlight w:val="none"/>
                <w:lang w:val="en-US" w:eastAsia="zh-CN"/>
              </w:rPr>
              <w:t>安装工程</w:t>
            </w:r>
            <w:r>
              <w:rPr>
                <w:rFonts w:hint="eastAsia" w:ascii="宋体" w:hAnsi="宋体" w:cs="宋体"/>
                <w:color w:val="auto"/>
                <w:kern w:val="0"/>
                <w:szCs w:val="21"/>
                <w:highlight w:val="none"/>
                <w:lang w:val="en-US" w:eastAsia="zh-CN"/>
              </w:rPr>
              <w:t>设计费最低</w:t>
            </w:r>
            <w:r>
              <w:rPr>
                <w:rFonts w:hint="eastAsia" w:ascii="宋体" w:hAnsi="宋体" w:eastAsia="宋体" w:cs="宋体"/>
                <w:color w:val="auto"/>
                <w:kern w:val="0"/>
                <w:szCs w:val="21"/>
                <w:highlight w:val="none"/>
                <w:lang w:eastAsia="zh-CN"/>
              </w:rPr>
              <w:t>投标报价为</w:t>
            </w:r>
            <w:r>
              <w:rPr>
                <w:rFonts w:hint="eastAsia" w:ascii="宋体" w:hAnsi="宋体" w:cs="宋体"/>
                <w:color w:val="auto"/>
                <w:kern w:val="0"/>
                <w:szCs w:val="21"/>
                <w:highlight w:val="none"/>
                <w:lang w:val="en-US" w:eastAsia="zh-CN"/>
              </w:rPr>
              <w:t>120</w:t>
            </w:r>
            <w:r>
              <w:rPr>
                <w:rFonts w:hint="eastAsia" w:ascii="宋体" w:hAnsi="宋体" w:eastAsia="宋体" w:cs="宋体"/>
                <w:color w:val="auto"/>
                <w:kern w:val="0"/>
                <w:szCs w:val="21"/>
                <w:highlight w:val="none"/>
                <w:lang w:val="en-US" w:eastAsia="zh-CN"/>
              </w:rPr>
              <w:t>00</w:t>
            </w:r>
            <w:r>
              <w:rPr>
                <w:rFonts w:hint="eastAsia" w:ascii="宋体" w:hAnsi="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，则A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szCs w:val="21"/>
                <w:highlight w:val="none"/>
                <w:lang w:val="en-US" w:eastAsia="zh-CN"/>
              </w:rPr>
              <w:t>安装工程设计费</w:t>
            </w:r>
            <w:r>
              <w:rPr>
                <w:rFonts w:hint="eastAsia" w:ascii="宋体" w:hAnsi="宋体" w:eastAsia="宋体" w:cs="宋体"/>
                <w:color w:val="auto"/>
                <w:kern w:val="0"/>
                <w:szCs w:val="21"/>
                <w:highlight w:val="none"/>
                <w:lang w:eastAsia="zh-CN"/>
              </w:rPr>
              <w:t>投标报价的得分为：</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000*100*0.2</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3.33</w:t>
            </w:r>
            <w:r>
              <w:rPr>
                <w:rFonts w:hint="eastAsia" w:ascii="宋体" w:hAnsi="宋体" w:eastAsia="宋体" w:cs="宋体"/>
                <w:color w:val="auto"/>
                <w:kern w:val="0"/>
                <w:szCs w:val="21"/>
                <w:highlight w:val="none"/>
                <w:lang w:eastAsia="zh-CN"/>
              </w:rPr>
              <w:t>分</w:t>
            </w:r>
          </w:p>
          <w:p w14:paraId="797125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ascii="宋体" w:hAnsi="宋体"/>
                <w:szCs w:val="21"/>
                <w:highlight w:val="none"/>
                <w:lang w:val="en-US" w:eastAsia="zh-CN"/>
              </w:rPr>
              <w:t>3、工程费报价中固定费率报价最低报价为工程费报价评标基准价，得满55分，其它工程费固定费率报价与评标基准价相比，每增加1%扣0.2分，扣完为止。</w:t>
            </w:r>
          </w:p>
          <w:p w14:paraId="43016C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Calibri" w:hAnsi="Calibri" w:eastAsia="宋体" w:cs="Calibri"/>
                <w:color w:val="auto"/>
                <w:kern w:val="0"/>
                <w:szCs w:val="21"/>
                <w:highlight w:val="none"/>
                <w:lang w:val="en-US" w:eastAsia="zh-CN"/>
              </w:rPr>
              <w:t>例如：</w:t>
            </w:r>
            <w:r>
              <w:rPr>
                <w:rFonts w:hint="eastAsia" w:ascii="宋体" w:hAnsi="宋体" w:eastAsia="宋体" w:cs="宋体"/>
                <w:color w:val="auto"/>
                <w:kern w:val="0"/>
                <w:szCs w:val="21"/>
                <w:highlight w:val="none"/>
                <w:lang w:eastAsia="zh-CN"/>
              </w:rPr>
              <w:t>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lang w:eastAsia="zh-CN"/>
              </w:rPr>
              <w:t>报价为</w:t>
            </w:r>
            <w:r>
              <w:rPr>
                <w:rFonts w:hint="eastAsia" w:ascii="宋体" w:hAnsi="宋体" w:cs="宋体"/>
                <w:color w:val="auto"/>
                <w:kern w:val="0"/>
                <w:szCs w:val="21"/>
                <w:highlight w:val="none"/>
                <w:lang w:val="en-US" w:eastAsia="zh-CN"/>
              </w:rPr>
              <w:t>固定费率90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，最低投标报价</w:t>
            </w:r>
            <w:r>
              <w:rPr>
                <w:rFonts w:hint="eastAsia" w:ascii="宋体" w:hAnsi="宋体" w:eastAsia="宋体" w:cs="宋体"/>
                <w:color w:val="auto"/>
                <w:kern w:val="0"/>
                <w:szCs w:val="21"/>
                <w:highlight w:val="none"/>
                <w:lang w:val="en-US" w:eastAsia="zh-CN"/>
              </w:rPr>
              <w:t>为</w:t>
            </w:r>
            <w:r>
              <w:rPr>
                <w:rFonts w:hint="eastAsia" w:ascii="宋体" w:hAnsi="宋体" w:cs="宋体"/>
                <w:color w:val="auto"/>
                <w:kern w:val="0"/>
                <w:szCs w:val="21"/>
                <w:highlight w:val="none"/>
                <w:lang w:val="en-US" w:eastAsia="zh-CN"/>
              </w:rPr>
              <w:t>固定费率85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，则A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lang w:eastAsia="zh-CN"/>
              </w:rPr>
              <w:t>投标报价的得分为：</w:t>
            </w:r>
            <w:r>
              <w:rPr>
                <w:rFonts w:hint="eastAsia" w:ascii="宋体" w:hAnsi="宋体" w:cs="宋体"/>
                <w:color w:val="auto"/>
                <w:kern w:val="0"/>
                <w:szCs w:val="21"/>
                <w:highlight w:val="none"/>
                <w:lang w:val="en-US" w:eastAsia="zh-CN"/>
              </w:rPr>
              <w:t>55</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90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w:t>
            </w:r>
            <w:r>
              <w:rPr>
                <w:rFonts w:hint="eastAsia" w:ascii="Calibri" w:hAnsi="Calibri" w:cs="Calibri"/>
                <w:color w:val="auto"/>
                <w:kern w:val="0"/>
                <w:szCs w:val="21"/>
                <w:highlight w:val="none"/>
                <w:lang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*100*0.2</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53.82</w:t>
            </w:r>
            <w:r>
              <w:rPr>
                <w:rFonts w:hint="eastAsia" w:ascii="宋体" w:hAnsi="宋体" w:eastAsia="宋体" w:cs="宋体"/>
                <w:color w:val="auto"/>
                <w:kern w:val="0"/>
                <w:szCs w:val="21"/>
                <w:highlight w:val="none"/>
                <w:lang w:eastAsia="zh-CN"/>
              </w:rPr>
              <w:t>分</w:t>
            </w:r>
          </w:p>
          <w:p w14:paraId="06A2AD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投标报价评分</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安装</w:t>
            </w:r>
            <w:r>
              <w:rPr>
                <w:rFonts w:hint="eastAsia" w:ascii="宋体" w:hAnsi="宋体" w:eastAsia="宋体" w:cs="宋体"/>
                <w:color w:val="auto"/>
                <w:kern w:val="0"/>
                <w:szCs w:val="21"/>
                <w:highlight w:val="none"/>
                <w:lang w:val="en-US" w:eastAsia="zh-CN"/>
              </w:rPr>
              <w:t>工程设计费报价得分+工程费报价得分。</w:t>
            </w:r>
          </w:p>
          <w:p w14:paraId="6B3EB8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宋体"/>
                <w:color w:val="auto"/>
                <w:kern w:val="0"/>
                <w:szCs w:val="21"/>
                <w:highlight w:val="none"/>
                <w:lang w:eastAsia="zh-CN"/>
              </w:rPr>
              <w:t>结果取小数点后两位，</w:t>
            </w:r>
            <w:r>
              <w:rPr>
                <w:rFonts w:hint="eastAsia" w:ascii="宋体" w:hAnsi="宋体" w:cs="宋体"/>
                <w:color w:val="auto"/>
                <w:kern w:val="0"/>
                <w:szCs w:val="21"/>
                <w:highlight w:val="none"/>
                <w:lang w:val="en-US" w:eastAsia="zh-CN"/>
              </w:rPr>
              <w:t>根据</w:t>
            </w:r>
            <w:r>
              <w:rPr>
                <w:rFonts w:hint="eastAsia" w:ascii="宋体" w:hAnsi="宋体" w:eastAsia="宋体" w:cs="宋体"/>
                <w:color w:val="auto"/>
                <w:kern w:val="0"/>
                <w:szCs w:val="21"/>
                <w:highlight w:val="none"/>
                <w:lang w:eastAsia="zh-CN"/>
              </w:rPr>
              <w:t>第三位四舍五入。</w:t>
            </w:r>
          </w:p>
        </w:tc>
      </w:tr>
      <w:tr w14:paraId="3C24A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14E98496">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3.2.3</w:t>
            </w:r>
          </w:p>
        </w:tc>
        <w:tc>
          <w:tcPr>
            <w:tcW w:w="1690" w:type="dxa"/>
            <w:noWrap w:val="0"/>
            <w:vAlign w:val="center"/>
          </w:tcPr>
          <w:p w14:paraId="0A5E7505">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参选人</w:t>
            </w:r>
            <w:r>
              <w:rPr>
                <w:rFonts w:hint="eastAsia" w:ascii="宋体" w:hAnsi="宋体"/>
                <w:szCs w:val="21"/>
                <w:highlight w:val="none"/>
              </w:rPr>
              <w:t>总</w:t>
            </w:r>
            <w:r>
              <w:rPr>
                <w:rFonts w:ascii="宋体" w:hAnsi="宋体"/>
                <w:szCs w:val="21"/>
                <w:highlight w:val="none"/>
              </w:rPr>
              <w:t>得分</w:t>
            </w:r>
          </w:p>
        </w:tc>
        <w:tc>
          <w:tcPr>
            <w:tcW w:w="5794" w:type="dxa"/>
            <w:noWrap w:val="0"/>
            <w:vAlign w:val="center"/>
          </w:tcPr>
          <w:p w14:paraId="69D1A3C7">
            <w:pPr>
              <w:keepNext w:val="0"/>
              <w:keepLines w:val="0"/>
              <w:pageBreakBefore w:val="0"/>
              <w:kinsoku/>
              <w:wordWrap/>
              <w:overflowPunct/>
              <w:topLinePunct w:val="0"/>
              <w:bidi w:val="0"/>
              <w:adjustRightInd/>
              <w:snapToGrid/>
              <w:spacing w:line="400" w:lineRule="exact"/>
              <w:jc w:val="center"/>
              <w:textAlignment w:val="auto"/>
              <w:rPr>
                <w:rFonts w:ascii="宋体" w:hAnsi="宋体"/>
                <w:szCs w:val="21"/>
                <w:highlight w:val="none"/>
                <w:u w:val="single"/>
              </w:rPr>
            </w:pPr>
            <w:r>
              <w:rPr>
                <w:rFonts w:ascii="宋体" w:hAnsi="宋体"/>
                <w:szCs w:val="21"/>
                <w:highlight w:val="none"/>
                <w:u w:val="single"/>
              </w:rPr>
              <w:t>参选人</w:t>
            </w:r>
            <w:r>
              <w:rPr>
                <w:rFonts w:hint="eastAsia" w:ascii="宋体" w:hAnsi="宋体"/>
                <w:szCs w:val="21"/>
                <w:highlight w:val="none"/>
                <w:u w:val="single"/>
              </w:rPr>
              <w:t>总</w:t>
            </w:r>
            <w:r>
              <w:rPr>
                <w:rFonts w:ascii="宋体" w:hAnsi="宋体"/>
                <w:szCs w:val="21"/>
                <w:highlight w:val="none"/>
                <w:u w:val="single"/>
              </w:rPr>
              <w:t>得分=A+B+</w:t>
            </w:r>
            <w:r>
              <w:rPr>
                <w:rFonts w:hint="eastAsia" w:ascii="宋体" w:hAnsi="宋体"/>
                <w:szCs w:val="21"/>
                <w:highlight w:val="none"/>
                <w:u w:val="single"/>
              </w:rPr>
              <w:t>C</w:t>
            </w:r>
          </w:p>
        </w:tc>
      </w:tr>
      <w:tr w14:paraId="2A5D2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76" w:type="dxa"/>
            <w:gridSpan w:val="3"/>
            <w:noWrap w:val="0"/>
            <w:vAlign w:val="center"/>
          </w:tcPr>
          <w:p w14:paraId="7BAC52D5">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hint="eastAsia" w:ascii="宋体" w:hAnsi="宋体"/>
                <w:szCs w:val="21"/>
                <w:highlight w:val="none"/>
              </w:rPr>
              <w:t>定标原则</w:t>
            </w:r>
          </w:p>
        </w:tc>
        <w:tc>
          <w:tcPr>
            <w:tcW w:w="5794" w:type="dxa"/>
            <w:noWrap w:val="0"/>
            <w:vAlign w:val="center"/>
          </w:tcPr>
          <w:p w14:paraId="387B74D6">
            <w:pPr>
              <w:keepNext w:val="0"/>
              <w:keepLines w:val="0"/>
              <w:pageBreakBefore w:val="0"/>
              <w:kinsoku/>
              <w:wordWrap/>
              <w:overflowPunct/>
              <w:topLinePunct w:val="0"/>
              <w:bidi w:val="0"/>
              <w:adjustRightInd/>
              <w:snapToGrid/>
              <w:spacing w:line="400" w:lineRule="exact"/>
              <w:ind w:firstLine="420" w:firstLineChars="200"/>
              <w:jc w:val="left"/>
              <w:textAlignment w:val="auto"/>
              <w:rPr>
                <w:highlight w:val="none"/>
              </w:rPr>
            </w:pPr>
            <w:r>
              <w:rPr>
                <w:rFonts w:hint="eastAsia"/>
                <w:highlight w:val="none"/>
              </w:rPr>
              <w:t>1、公开比选委员会根据各参选人的综合得分从高到低依次排定比选名次。</w:t>
            </w:r>
            <w:r>
              <w:rPr>
                <w:highlight w:val="none"/>
              </w:rPr>
              <w:t>综合评分相等时，以</w:t>
            </w:r>
            <w:r>
              <w:rPr>
                <w:rFonts w:hint="eastAsia"/>
                <w:highlight w:val="none"/>
              </w:rPr>
              <w:t>技术方案得分高</w:t>
            </w:r>
            <w:r>
              <w:rPr>
                <w:highlight w:val="none"/>
              </w:rPr>
              <w:t>的优先；</w:t>
            </w:r>
            <w:r>
              <w:rPr>
                <w:rFonts w:hint="eastAsia"/>
                <w:highlight w:val="none"/>
              </w:rPr>
              <w:t>技术方案得分相等的，以</w:t>
            </w:r>
            <w:r>
              <w:rPr>
                <w:highlight w:val="none"/>
              </w:rPr>
              <w:t>参选报价</w:t>
            </w:r>
            <w:r>
              <w:rPr>
                <w:rFonts w:hint="eastAsia"/>
                <w:highlight w:val="none"/>
              </w:rPr>
              <w:t>得分高的优先；技术方案和报价均相等的，由公开比选委员会抽签确定。</w:t>
            </w:r>
          </w:p>
          <w:p w14:paraId="4D734A31">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szCs w:val="21"/>
                <w:highlight w:val="none"/>
                <w:u w:val="single"/>
              </w:rPr>
            </w:pPr>
            <w:r>
              <w:rPr>
                <w:rFonts w:hint="eastAsia"/>
                <w:highlight w:val="none"/>
              </w:rPr>
              <w:t>2、对本次比选排名进行公示，在经公示无异议、投诉，且无违反比选文件规定的前提下，比选人应当确定排名第一的参选人为中选候选人。中选候选人放弃中选、因不可抗力不能履行合同、或者被查实存在影响中选结果的违法行为，或者不接受比选人在合同谈判时提出的商务条件等情形，不符合中选条件的，比选人可以按照公开比选委员会排定的比选名次依次确定其他参选人为中选候选人，最终确定中选人。</w:t>
            </w:r>
          </w:p>
        </w:tc>
      </w:tr>
    </w:tbl>
    <w:p w14:paraId="2B01BE38">
      <w:pPr>
        <w:rPr>
          <w:rFonts w:hint="eastAsia" w:ascii="宋体" w:hAnsi="宋体"/>
          <w:highlight w:val="none"/>
        </w:rPr>
      </w:pPr>
      <w:r>
        <w:rPr>
          <w:rFonts w:hint="eastAsia" w:ascii="宋体" w:hAnsi="宋体"/>
          <w:highlight w:val="none"/>
        </w:rPr>
        <w:br w:type="page"/>
      </w:r>
    </w:p>
    <w:p w14:paraId="708A469F">
      <w:pPr>
        <w:pStyle w:val="3"/>
        <w:spacing w:before="0" w:after="0" w:line="360" w:lineRule="auto"/>
        <w:jc w:val="center"/>
        <w:rPr>
          <w:rFonts w:ascii="宋体" w:hAnsi="宋体"/>
          <w:highlight w:val="none"/>
        </w:rPr>
      </w:pPr>
      <w:r>
        <w:rPr>
          <w:rFonts w:hint="eastAsia" w:ascii="宋体" w:hAnsi="宋体"/>
          <w:highlight w:val="none"/>
        </w:rPr>
        <w:t>第四章  合同主要条款</w:t>
      </w:r>
    </w:p>
    <w:p w14:paraId="1551EC66">
      <w:pPr>
        <w:jc w:val="center"/>
        <w:rPr>
          <w:highlight w:val="none"/>
        </w:rPr>
      </w:pPr>
      <w:r>
        <w:rPr>
          <w:rFonts w:hint="eastAsia"/>
          <w:highlight w:val="none"/>
        </w:rPr>
        <w:t>（中选的合作机构按照相同的合同条款签订合同）</w:t>
      </w:r>
    </w:p>
    <w:p w14:paraId="7979C6BE">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rPr>
          <w:rFonts w:hint="eastAsia" w:ascii="宋体" w:hAnsi="宋体"/>
          <w:b/>
          <w:bCs/>
          <w:color w:val="000000"/>
          <w:sz w:val="28"/>
          <w:szCs w:val="28"/>
          <w:highlight w:val="none"/>
        </w:rPr>
      </w:pPr>
    </w:p>
    <w:p w14:paraId="64147784">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rPr>
          <w:rFonts w:hint="eastAsia" w:ascii="宋体" w:hAnsi="宋体"/>
          <w:b/>
          <w:bCs/>
          <w:color w:val="000000"/>
          <w:sz w:val="28"/>
          <w:szCs w:val="28"/>
          <w:highlight w:val="none"/>
        </w:rPr>
      </w:pPr>
    </w:p>
    <w:p w14:paraId="1F3B1C78">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rFonts w:ascii="宋体" w:hAnsi="宋体"/>
          <w:b/>
          <w:bCs/>
          <w:color w:val="000000"/>
          <w:sz w:val="28"/>
          <w:szCs w:val="28"/>
          <w:highlight w:val="none"/>
        </w:rPr>
      </w:pPr>
      <w:r>
        <w:rPr>
          <w:rFonts w:hint="eastAsia" w:ascii="宋体" w:hAnsi="宋体"/>
          <w:b/>
          <w:bCs/>
          <w:color w:val="000000"/>
          <w:sz w:val="28"/>
          <w:szCs w:val="28"/>
          <w:highlight w:val="none"/>
        </w:rPr>
        <w:t>甲方：比选人</w:t>
      </w:r>
    </w:p>
    <w:p w14:paraId="4FA384C8">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rFonts w:ascii="宋体" w:hAnsi="宋体"/>
          <w:color w:val="000000"/>
          <w:szCs w:val="21"/>
          <w:highlight w:val="none"/>
        </w:rPr>
      </w:pPr>
      <w:r>
        <w:rPr>
          <w:rFonts w:hint="eastAsia" w:ascii="宋体" w:hAnsi="宋体"/>
          <w:b/>
          <w:bCs/>
          <w:color w:val="000000"/>
          <w:sz w:val="28"/>
          <w:szCs w:val="28"/>
          <w:highlight w:val="none"/>
        </w:rPr>
        <w:t>乙方：中选人</w:t>
      </w:r>
    </w:p>
    <w:p w14:paraId="5FE4284A">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b/>
          <w:bCs/>
          <w:snapToGrid w:val="0"/>
          <w:sz w:val="28"/>
          <w:szCs w:val="28"/>
          <w:highlight w:val="none"/>
        </w:rPr>
      </w:pPr>
    </w:p>
    <w:p w14:paraId="0A86DB65">
      <w:pPr>
        <w:keepNext w:val="0"/>
        <w:keepLines w:val="0"/>
        <w:pageBreakBefore w:val="0"/>
        <w:kinsoku/>
        <w:wordWrap/>
        <w:overflowPunct/>
        <w:topLinePunct w:val="0"/>
        <w:autoSpaceDE/>
        <w:autoSpaceDN/>
        <w:bidi w:val="0"/>
        <w:adjustRightInd/>
        <w:snapToGrid/>
        <w:spacing w:line="400" w:lineRule="exact"/>
        <w:ind w:left="0" w:leftChars="0"/>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1.</w:t>
      </w:r>
      <w:r>
        <w:rPr>
          <w:rFonts w:hint="eastAsia" w:ascii="宋体" w:hAnsi="宋体"/>
          <w:b/>
          <w:bCs/>
          <w:snapToGrid w:val="0"/>
          <w:sz w:val="28"/>
          <w:szCs w:val="28"/>
          <w:highlight w:val="none"/>
          <w:lang w:val="en-US" w:eastAsia="zh-CN"/>
        </w:rPr>
        <w:t>服务内容</w:t>
      </w:r>
      <w:r>
        <w:rPr>
          <w:rFonts w:hint="eastAsia" w:ascii="宋体" w:hAnsi="宋体"/>
          <w:b/>
          <w:bCs/>
          <w:snapToGrid w:val="0"/>
          <w:sz w:val="28"/>
          <w:szCs w:val="28"/>
          <w:highlight w:val="none"/>
        </w:rPr>
        <w:t>：</w:t>
      </w:r>
    </w:p>
    <w:p w14:paraId="37393880">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主要包括准备阶段，方案设计、安装工程施工图设计，及安装施工，具体范围为：</w:t>
      </w:r>
    </w:p>
    <w:p w14:paraId="6FA86B9F">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（1）准备阶段工作内容</w:t>
      </w:r>
    </w:p>
    <w:p w14:paraId="194163FC">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本项目的前期现场勘察（测绘、摸底），包括但不限于对设计所涉区域的原始资料搜集（阿依河景区岩头坝区域地形图、阿依河景区相关楼栋竣工图等）、必要的现状补充测绘、评估等。</w:t>
      </w:r>
    </w:p>
    <w:p w14:paraId="6352AD14">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（2）方案设计阶段工作内容</w:t>
      </w:r>
    </w:p>
    <w:p w14:paraId="20001295">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根据比选人指定的本次</w:t>
      </w:r>
      <w:r>
        <w:rPr>
          <w:rFonts w:hint="eastAsia" w:ascii="宋体" w:hAnsi="宋体" w:cs="Times New Roman"/>
          <w:snapToGrid w:val="0"/>
          <w:kern w:val="0"/>
          <w:szCs w:val="21"/>
          <w:highlight w:val="none"/>
          <w:u w:val="single"/>
          <w:lang w:val="en-US" w:eastAsia="zh-CN"/>
        </w:rPr>
        <w:t>阿依河景区夜景灯饰及声光电提升</w:t>
      </w:r>
      <w:r>
        <w:rPr>
          <w:rFonts w:hint="eastAsia" w:ascii="宋体" w:hAnsi="宋体"/>
          <w:snapToGrid w:val="0"/>
          <w:kern w:val="0"/>
          <w:szCs w:val="21"/>
          <w:highlight w:val="none"/>
          <w:u w:val="single"/>
          <w:lang w:val="en-US" w:eastAsia="zh-CN"/>
        </w:rPr>
        <w:t>所涉及的范围完成方案设计，并报比选人审批。</w:t>
      </w:r>
    </w:p>
    <w:p w14:paraId="6381B8F0">
      <w:pPr>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default" w:ascii="宋体" w:hAnsi="宋体"/>
          <w:snapToGrid w:val="0"/>
          <w:kern w:val="0"/>
          <w:szCs w:val="21"/>
          <w:highlight w:val="yellow"/>
          <w:u w:val="single"/>
          <w:lang w:val="en-US" w:eastAsia="zh-CN"/>
        </w:rPr>
      </w:pPr>
      <w:r>
        <w:rPr>
          <w:rFonts w:hint="eastAsia" w:ascii="宋体" w:hAnsi="宋体"/>
          <w:snapToGrid w:val="0"/>
          <w:kern w:val="0"/>
          <w:szCs w:val="21"/>
          <w:highlight w:val="none"/>
          <w:u w:val="single"/>
          <w:lang w:val="en-US" w:eastAsia="zh-CN"/>
        </w:rPr>
        <w:t>包括但不限于对阿依河景区岩头坝区域室外景观6个主要景观节点（景区入口牌坊处、牌坊往中心舞台转角处吊脚楼街巷、寨前广场大树处、中心舞台区域、苗家菜馆、篝火广场）的夜景灯饰及声光电集成系统[内容包括但不限于以下内容：①各区域的扩声系统的设置，配置大声压级全天候音箱、全天候超低音箱、返听音箱等；以及配套的功率放大器、网络音频处理器、数字调音台、网络接口箱、网络管理时序电源等，实现各区域无死角大声压级全覆盖，满足大动态、宽频响、高清晰度、无啸叫的声音播放要求。②各区域的夜景灯光系统的设置，配置大功率全彩雕刻全天候激光灯以及配套的控制编程软件实现构筑物轮廓精确激光动态勾勒和其他元素叠加展现效果；配置全天候大功率切割灯、全天候大功率光束灯、大功率激光灯、全天候染色灯、适量防水电动调焦面光灯、大功率全天候烟雾机、户外萤火虫激光灯、防水投影水纹灯、电动沙幕和长焦投影机以及配套信号放大器等，实现构筑物、周边绿植景观夜景装饰功能。③控制及传输系统，利用数字网络传输技术实现各节点灯光音响设备的集中化远程控制管理，实现一键或者定时开关系统，场景模式预设和调用，灯光音响联动，具体设备包括数字调音台、数字灯光控制台、网路音频接口设备、控制系统软件平台等。④动力配电系统：整套设备系统的电力系统（包括但不限于配电箱、电缆、从配电室到主控制室主动力电缆等）。]进行方案设计，</w:t>
      </w:r>
      <w:r>
        <w:rPr>
          <w:rFonts w:hint="eastAsia" w:ascii="宋体" w:hAnsi="宋体" w:cs="宋体"/>
          <w:u w:val="single"/>
          <w:lang w:val="en-US" w:eastAsia="zh-CN"/>
        </w:rPr>
        <w:t>成果应符合比选人审查要求</w:t>
      </w:r>
      <w:r>
        <w:rPr>
          <w:rFonts w:hint="eastAsia" w:ascii="宋体" w:hAnsi="宋体"/>
          <w:snapToGrid w:val="0"/>
          <w:kern w:val="0"/>
          <w:szCs w:val="21"/>
          <w:highlight w:val="none"/>
          <w:u w:val="single"/>
          <w:lang w:val="en-US" w:eastAsia="zh-CN"/>
        </w:rPr>
        <w:t>。</w:t>
      </w:r>
    </w:p>
    <w:p w14:paraId="0A6167DD">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（3）安装工程施工图设计阶段工作内容</w:t>
      </w:r>
    </w:p>
    <w:p w14:paraId="2F7906F1">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根据比选人审定的方案设计进行施工图设计，同时编制工程预算清单，并报比选人审批。</w:t>
      </w:r>
    </w:p>
    <w:p w14:paraId="0BE4560E">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yellow"/>
          <w:u w:val="single"/>
          <w:lang w:val="en-US" w:eastAsia="zh-CN"/>
        </w:rPr>
      </w:pPr>
      <w:r>
        <w:rPr>
          <w:rFonts w:hint="eastAsia" w:ascii="宋体" w:hAnsi="宋体"/>
          <w:snapToGrid w:val="0"/>
          <w:kern w:val="0"/>
          <w:szCs w:val="21"/>
          <w:highlight w:val="none"/>
          <w:u w:val="single"/>
          <w:lang w:val="en-US" w:eastAsia="zh-CN"/>
        </w:rPr>
        <w:t>程施工图设计内容包括但不限于以下内容：对阿依河景区岩头坝区域室外景观6个主要景观节点（景区入口牌坊处、牌坊往中心舞台转角处吊脚楼街巷、寨前广场大树处、中心舞台区域、苗家菜馆、篝火广场）的夜景灯饰及声光电集成系统[内容包括但不限于以下内容：①各区域的扩声系统的设置，配置大声压级全天候音箱、全天候超低音箱、返听音箱等；以及配套的功率放大器、网络音频处理器、数字调音台、网络接口箱、网络管理时序电源等，实现各区域无死角大声压级全覆盖，满足大动态、宽频响、高清晰度、无啸叫的声音播放要求。②各区域的夜景灯光系统的设置，配置大功率全彩雕刻全天候激光灯以及配套的控制编程软件实现构筑物轮廓精确激光动态勾勒和其他元素叠加展现效果；配置全天候大功率切割灯、全天候大功率光束灯、大功率激光灯、全天候染色灯、适量防水电动调焦面光灯、大功率全天候烟雾机、户外萤火虫激光灯、防水投影水纹灯、电动沙幕和长焦投影机以及配套信号放大器等，实现构筑物、周边绿植景观夜景装饰功能。③控制及传输系统，利用数字网络传输技术实现各节点灯光音响设备的集中化远程控制管理，实现一键或者定时开关系统，场景模式预设和调用，灯光音响联动，具体设备包括数字调音台、数字灯光控制台、网路音频接口设备、控制系统软件平台等。④动力配电系统：整套设备系统的电力系统（包括但不限于配电箱、电缆、从配电室到主控制室主动力电缆等）。]进行进行施工图设计。</w:t>
      </w:r>
    </w:p>
    <w:p w14:paraId="1612D02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（4）施工阶段工作内容</w:t>
      </w:r>
    </w:p>
    <w:p w14:paraId="5B1E9C99">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施工图、预算等文件进行施工，内容包括但不限于以下内容：对阿依河景区岩头坝区域室外景观6个主要景观节点（景区入口牌坊处、牌坊往中心舞台转角处吊脚楼街巷、寨前广场大树处、中心舞台区域、苗家菜馆、篝火广场）的夜景灯饰及声光电集成系统[内容包括但不限于以下内容：①各区域的扩声系统的设置，配置大声压级全天候音箱、全天候超低音箱、返听音箱等；以及配套的功率放大器、网络音频处理器、数字调音台、网络接口箱、网络管理时序电源等，实现各区域无死角大声压级全覆盖，满足大动态、宽频响、高清晰度、无啸叫的声音播放要求。②各区域的夜景灯光系统的设置，配置大功率全彩雕刻全天候激光灯以及配套的控制编程软件实现构筑物轮廓精确激光动态勾勒和其他元素叠加展现效果；配置全天候大功率切割灯、全天候大功率光束灯、大功率激光灯、全天候染色灯、适量防水电动调焦面光灯、大功率全天候烟雾机、户外萤火虫激光灯、防水投影水纹灯、电动沙幕和长焦投影机以及配套信号放大器等，实现构筑物、周边绿植景观夜景装饰功能。③控制及传输系统，利用数字网络传输技术实现各节点灯光音响设备的集中化远程控制管理，实现一键或者定时开关系统，场景模式预设和调用，灯光音响联动，具体设备包括数字调音台、数字灯光控制台、网路音频接口设备、控制系统软件平台等。④动力配电系统：整套设备系统的电力系统（包括但不限于配电箱、电缆、从配电室到主控制室主动力电缆等）。]进行施工建设。以及为满足工程施工与经营相配套所需完成的场地准备、临时设施设备等相关工作，包括但不限于临时通道搭设、临时用水、临时用电、临时排水排污、临时开口、原有装饰材料拆除清运（如有）等工作，及为确保安全文明施工的各项保障措施、工作。</w:t>
      </w:r>
    </w:p>
    <w:p w14:paraId="539E96F9">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b w:val="0"/>
          <w:bCs w:val="0"/>
          <w:snapToGrid w:val="0"/>
          <w:kern w:val="0"/>
          <w:szCs w:val="21"/>
          <w:highlight w:val="none"/>
          <w:u w:val="single"/>
          <w:lang w:val="en-US" w:eastAsia="zh-CN"/>
        </w:rPr>
      </w:pPr>
      <w:r>
        <w:rPr>
          <w:rFonts w:hint="eastAsia" w:ascii="宋体" w:hAnsi="宋体"/>
          <w:b w:val="0"/>
          <w:bCs w:val="0"/>
          <w:snapToGrid w:val="0"/>
          <w:kern w:val="0"/>
          <w:szCs w:val="21"/>
          <w:highlight w:val="none"/>
          <w:u w:val="single"/>
          <w:lang w:eastAsia="zh-CN"/>
        </w:rPr>
        <w:t>（</w:t>
      </w:r>
      <w:r>
        <w:rPr>
          <w:rFonts w:hint="eastAsia" w:ascii="宋体" w:hAnsi="宋体"/>
          <w:b w:val="0"/>
          <w:bCs w:val="0"/>
          <w:snapToGrid w:val="0"/>
          <w:kern w:val="0"/>
          <w:szCs w:val="21"/>
          <w:highlight w:val="none"/>
          <w:u w:val="single"/>
          <w:lang w:val="en-US" w:eastAsia="zh-CN"/>
        </w:rPr>
        <w:t>5</w:t>
      </w:r>
      <w:r>
        <w:rPr>
          <w:rFonts w:hint="eastAsia" w:ascii="宋体" w:hAnsi="宋体"/>
          <w:b w:val="0"/>
          <w:bCs w:val="0"/>
          <w:snapToGrid w:val="0"/>
          <w:kern w:val="0"/>
          <w:szCs w:val="21"/>
          <w:highlight w:val="none"/>
          <w:u w:val="single"/>
          <w:lang w:eastAsia="zh-CN"/>
        </w:rPr>
        <w:t>）</w:t>
      </w:r>
      <w:r>
        <w:rPr>
          <w:rFonts w:hint="eastAsia" w:ascii="宋体" w:hAnsi="宋体"/>
          <w:b w:val="0"/>
          <w:bCs w:val="0"/>
          <w:snapToGrid w:val="0"/>
          <w:kern w:val="0"/>
          <w:szCs w:val="21"/>
          <w:highlight w:val="none"/>
          <w:u w:val="single"/>
        </w:rPr>
        <w:t>工期要求：</w:t>
      </w:r>
    </w:p>
    <w:p w14:paraId="54D2B32F">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ascii="宋体" w:hAnsi="宋体"/>
          <w:snapToGrid w:val="0"/>
          <w:kern w:val="0"/>
          <w:szCs w:val="21"/>
          <w:highlight w:val="none"/>
          <w:u w:val="single"/>
        </w:rPr>
        <w:t>中选人在收到比选人开展阶段性或单个专业或区域设计工作通知后</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rPr>
        <w:t>个自然日内完成</w:t>
      </w:r>
      <w:r>
        <w:rPr>
          <w:rFonts w:hint="eastAsia" w:ascii="宋体" w:hAnsi="宋体"/>
          <w:snapToGrid w:val="0"/>
          <w:kern w:val="0"/>
          <w:szCs w:val="21"/>
          <w:highlight w:val="none"/>
          <w:u w:val="single"/>
          <w:lang w:val="en-US" w:eastAsia="zh-CN"/>
        </w:rPr>
        <w:t>对本次设计所涉及区域现状的勘测、调查、评估（准备阶段）；在现状勘测工作完成后3自然日内完成本次设计所涉及区域的方案设计（方案设计阶段）；在比选人明确方案设计后在3个自然日内完成施工图设计及预算编制（安装工程施工图设计阶段）；在比选人明确施工图设计和预算后，在10个自然日内完成施工。</w:t>
      </w:r>
      <w:r>
        <w:rPr>
          <w:rFonts w:hint="eastAsia" w:ascii="宋体" w:hAnsi="宋体"/>
          <w:snapToGrid w:val="0"/>
          <w:kern w:val="0"/>
          <w:szCs w:val="21"/>
          <w:highlight w:val="none"/>
          <w:u w:val="single"/>
        </w:rPr>
        <w:t>最终完成时限根据项目实际情况以及比选人要求确定。</w:t>
      </w:r>
    </w:p>
    <w:p w14:paraId="3CE07F28">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2.费用结算及支付</w:t>
      </w:r>
    </w:p>
    <w:p w14:paraId="3E24779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2.1费用结算：合同结算价=全费用</w:t>
      </w:r>
      <w:r>
        <w:rPr>
          <w:rFonts w:hint="eastAsia" w:ascii="宋体" w:hAnsi="宋体" w:cs="宋体"/>
          <w:color w:val="000000"/>
          <w:kern w:val="0"/>
          <w:sz w:val="21"/>
          <w:szCs w:val="21"/>
          <w:highlight w:val="none"/>
          <w:u w:val="single"/>
          <w:lang w:val="en-US" w:eastAsia="zh-CN" w:bidi="ar"/>
        </w:rPr>
        <w:t>安装工程</w:t>
      </w:r>
      <w:r>
        <w:rPr>
          <w:rFonts w:hint="eastAsia" w:ascii="宋体" w:hAnsi="宋体" w:eastAsia="宋体" w:cs="宋体"/>
          <w:color w:val="000000"/>
          <w:kern w:val="0"/>
          <w:sz w:val="21"/>
          <w:szCs w:val="21"/>
          <w:highlight w:val="none"/>
          <w:u w:val="single"/>
          <w:lang w:val="en-US" w:eastAsia="zh-CN" w:bidi="ar"/>
        </w:rPr>
        <w:t xml:space="preserve">设计费+工程结算价±合同约定的其他费用。合同约定的其他费用包括变更结算金额、索赔赔付金额、奖励、罚金、违约金、价差调整等。 </w:t>
      </w:r>
    </w:p>
    <w:p w14:paraId="6BEAB17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2.1.1设计费结算原则 </w:t>
      </w:r>
    </w:p>
    <w:p w14:paraId="33B450A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设计费按照合同签订金额包干价结算。中选人提供的设计文件必须实现招标人意图，满足项目功能需求、满足国家、行业相关规范及招标人技术标准要求，因中选人自身原因造成的设计文件有缺陷，中选人应无条件修改设计及施工内容，由此增加的设计费、建安工程费及其它费用均由中选人自行承担。 </w:t>
      </w:r>
    </w:p>
    <w:p w14:paraId="192DF34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2.1.2工程费结算原则 </w:t>
      </w:r>
    </w:p>
    <w:p w14:paraId="4A0AC9C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（1）施工图预算编制</w:t>
      </w:r>
    </w:p>
    <w:p w14:paraId="284A7E7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选人在施工设计图纸编制完成后，应根据本比选文件中所规定的参选报价中规定的报价原则和计价原则及中标下浮比例（中选下浮比例=1-工程费固定费率）编制工程量清单并进行清单组价（清单组价应按中标下浮比例下浮）并向比选人申报（比选人审定施工设计图纸后，中选人应按审定后的图纸对工程量清单和清单组价进行调整后再次报），由比选人审查后，审定的工程量清单及其综合单价作为进度款支付及结算依据，工程量据实结算；中选</w:t>
      </w:r>
      <w:r>
        <w:rPr>
          <w:rFonts w:hint="default" w:ascii="宋体" w:hAnsi="宋体" w:eastAsia="宋体" w:cs="宋体"/>
          <w:color w:val="000000"/>
          <w:kern w:val="0"/>
          <w:sz w:val="21"/>
          <w:szCs w:val="21"/>
          <w:highlight w:val="none"/>
          <w:lang w:val="en-US" w:eastAsia="zh-CN" w:bidi="ar"/>
        </w:rPr>
        <w:t xml:space="preserve">人申报的工程量清单及其组价应真实准确，根据施工图如有漏项，视为已包含在其他清单项目中结算时不予另行计算。下浮比例为税前总造价下浮（其中认质核价部分、安全文明施工费、规费、单独另有约定的项目不下浮），工程费建安工程费固定费率固定不变，不因任何因素调整。 </w:t>
      </w:r>
    </w:p>
    <w:p w14:paraId="57E4651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（2）工程费结算</w:t>
      </w:r>
    </w:p>
    <w:p w14:paraId="7D22B59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特别说明：</w:t>
      </w:r>
      <w:r>
        <w:rPr>
          <w:rFonts w:hint="eastAsia" w:ascii="宋体" w:hAnsi="宋体" w:eastAsia="宋体" w:cs="宋体"/>
          <w:color w:val="000000"/>
          <w:kern w:val="0"/>
          <w:sz w:val="21"/>
          <w:szCs w:val="21"/>
          <w:highlight w:val="none"/>
          <w:u w:val="single"/>
          <w:lang w:val="en-US" w:eastAsia="zh-CN" w:bidi="ar"/>
        </w:rPr>
        <w:t>本项目工程部分采取限额结算。以</w:t>
      </w:r>
      <w:r>
        <w:rPr>
          <w:rFonts w:hint="eastAsia" w:ascii="宋体" w:hAnsi="宋体" w:cs="宋体"/>
          <w:color w:val="000000"/>
          <w:kern w:val="0"/>
          <w:sz w:val="21"/>
          <w:szCs w:val="21"/>
          <w:highlight w:val="none"/>
          <w:u w:val="single"/>
          <w:lang w:val="en-US" w:eastAsia="zh-CN" w:bidi="ar"/>
        </w:rPr>
        <w:t>1637189.49</w:t>
      </w:r>
      <w:r>
        <w:rPr>
          <w:rFonts w:hint="eastAsia" w:ascii="宋体" w:hAnsi="宋体" w:eastAsia="宋体" w:cs="宋体"/>
          <w:color w:val="000000"/>
          <w:kern w:val="0"/>
          <w:sz w:val="21"/>
          <w:szCs w:val="21"/>
          <w:highlight w:val="none"/>
          <w:u w:val="single"/>
          <w:lang w:val="en-US" w:eastAsia="zh-CN" w:bidi="ar"/>
        </w:rPr>
        <w:t xml:space="preserve">元作为结算限额，工程结算金额在结算限额内时，根据结算原则按实结算；若工程结算金额超过结算限额时，按结算限额结算。 </w:t>
      </w:r>
    </w:p>
    <w:p w14:paraId="46425C1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u w:val="single"/>
          <w:lang w:val="en-US" w:eastAsia="zh-CN" w:bidi="ar"/>
        </w:rPr>
        <w:t>结算价=已完工合格分部分项工程量清单结算价+措施费(安全文明施工费除外)+分部分项工程量清单新增或变更等引起的增(减)子项结算价+暂列金额确定价+安全文明施工费+规费+税金，各部分的结算原则如下：</w:t>
      </w:r>
    </w:p>
    <w:p w14:paraId="195D555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1）各分部分项工程工程量清单结算价：</w:t>
      </w:r>
    </w:p>
    <w:p w14:paraId="3EB880C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7B7921A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子项综合单价：以比选人审核的综合单价作为结算依据。</w:t>
      </w:r>
    </w:p>
    <w:p w14:paraId="4E3614E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2）材料价差的调整：本项目材料价差不调整。</w:t>
      </w:r>
    </w:p>
    <w:p w14:paraId="4FEE849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3）措施费：按《重庆市建设工程费用定额》（CQFYDE-2018）及相关文件规定执行。 </w:t>
      </w:r>
    </w:p>
    <w:p w14:paraId="32B6A7F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4）安全文明施工费： </w:t>
      </w:r>
    </w:p>
    <w:p w14:paraId="60E8891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highlight w:val="none"/>
        </w:rPr>
      </w:pPr>
      <w:r>
        <w:rPr>
          <w:rFonts w:hint="eastAsia" w:ascii="宋体" w:hAnsi="宋体" w:eastAsia="宋体" w:cs="宋体"/>
          <w:color w:val="000000"/>
          <w:kern w:val="0"/>
          <w:sz w:val="21"/>
          <w:szCs w:val="21"/>
          <w:highlight w:val="none"/>
          <w:lang w:val="en-US" w:eastAsia="zh-CN" w:bidi="ar"/>
        </w:rPr>
        <w:t>按照</w:t>
      </w:r>
      <w:r>
        <w:rPr>
          <w:rFonts w:hint="eastAsia"/>
          <w:highlight w:val="none"/>
        </w:rPr>
        <w:t>《重庆城乡建设委员会关于印《重庆市建设工程安全文明施工费计取及使用管理规定(2024版)》</w:t>
      </w:r>
      <w:r>
        <w:rPr>
          <w:rFonts w:hint="eastAsia"/>
          <w:highlight w:val="none"/>
          <w:lang w:eastAsia="zh-CN"/>
        </w:rPr>
        <w:t>（</w:t>
      </w:r>
      <w:r>
        <w:rPr>
          <w:rFonts w:hint="eastAsia"/>
          <w:highlight w:val="none"/>
        </w:rPr>
        <w:t>渝建管</w:t>
      </w:r>
      <w:r>
        <w:rPr>
          <w:rFonts w:hint="eastAsia" w:ascii="仿宋" w:hAnsi="仿宋" w:eastAsia="仿宋" w:cs="仿宋"/>
          <w:highlight w:val="none"/>
        </w:rPr>
        <w:t>〔</w:t>
      </w:r>
      <w:r>
        <w:rPr>
          <w:rFonts w:hint="eastAsia"/>
          <w:highlight w:val="none"/>
        </w:rPr>
        <w:t>2024</w:t>
      </w:r>
      <w:r>
        <w:rPr>
          <w:rFonts w:hint="eastAsia" w:ascii="仿宋" w:hAnsi="仿宋" w:eastAsia="仿宋" w:cs="仿宋"/>
          <w:highlight w:val="none"/>
        </w:rPr>
        <w:t>〕</w:t>
      </w:r>
      <w:r>
        <w:rPr>
          <w:rFonts w:hint="eastAsia"/>
          <w:highlight w:val="none"/>
        </w:rPr>
        <w:t>38号</w:t>
      </w:r>
      <w:r>
        <w:rPr>
          <w:rFonts w:hint="eastAsia"/>
          <w:highlight w:val="none"/>
          <w:lang w:eastAsia="zh-CN"/>
        </w:rPr>
        <w:t>）</w:t>
      </w:r>
      <w:r>
        <w:rPr>
          <w:rFonts w:hint="eastAsia" w:ascii="宋体" w:hAnsi="宋体" w:eastAsia="宋体" w:cs="宋体"/>
          <w:color w:val="000000"/>
          <w:kern w:val="0"/>
          <w:sz w:val="21"/>
          <w:szCs w:val="21"/>
          <w:highlight w:val="none"/>
          <w:lang w:val="en-US" w:eastAsia="zh-CN" w:bidi="ar"/>
        </w:rPr>
        <w:t>规定执行</w:t>
      </w:r>
      <w:r>
        <w:rPr>
          <w:rFonts w:ascii="瀹嬩綋" w:hAnsi="瀹嬩綋" w:eastAsia="瀹嬩綋" w:cs="瀹嬩綋"/>
          <w:color w:val="000000"/>
          <w:kern w:val="0"/>
          <w:sz w:val="21"/>
          <w:szCs w:val="21"/>
          <w:highlight w:val="none"/>
          <w:lang w:val="en-US" w:eastAsia="zh-CN" w:bidi="ar"/>
        </w:rPr>
        <w:t xml:space="preserve">。 </w:t>
      </w:r>
    </w:p>
    <w:p w14:paraId="0E24EA6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5）规费：按相关规定计取。 </w:t>
      </w:r>
    </w:p>
    <w:p w14:paraId="31EE214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6）税金：按照《重庆市建设工程费用定额》（CQFYDE-2018）和 《重庆市住房和城乡建设委员会关于适用增值税新税率调整建设工程计价依据的通知》（渝建（2019）143 号）的规定执行。 </w:t>
      </w:r>
    </w:p>
    <w:p w14:paraId="5A37E00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7）变更估价原则：本工程所有变更均由中选人实施，但不增加任何设计费用；在工程施工过程中，因中选人自身原因造成的设计文件有缺陷，中选人应无条件修改设计及施工内容</w:t>
      </w:r>
      <w:r>
        <w:rPr>
          <w:rFonts w:hint="default" w:ascii="宋体" w:hAnsi="宋体" w:eastAsia="宋体" w:cs="宋体"/>
          <w:color w:val="000000"/>
          <w:kern w:val="0"/>
          <w:sz w:val="21"/>
          <w:szCs w:val="21"/>
          <w:highlight w:val="none"/>
          <w:lang w:val="en-US" w:eastAsia="zh-CN" w:bidi="ar"/>
        </w:rPr>
        <w:t>；非</w:t>
      </w:r>
      <w:r>
        <w:rPr>
          <w:rFonts w:hint="eastAsia" w:ascii="宋体" w:hAnsi="宋体" w:eastAsia="宋体" w:cs="宋体"/>
          <w:color w:val="000000"/>
          <w:kern w:val="0"/>
          <w:sz w:val="21"/>
          <w:szCs w:val="21"/>
          <w:highlight w:val="none"/>
          <w:lang w:val="en-US" w:eastAsia="zh-CN" w:bidi="ar"/>
        </w:rPr>
        <w:t>中选人</w:t>
      </w:r>
      <w:r>
        <w:rPr>
          <w:rFonts w:hint="default" w:ascii="宋体" w:hAnsi="宋体" w:eastAsia="宋体" w:cs="宋体"/>
          <w:color w:val="000000"/>
          <w:kern w:val="0"/>
          <w:sz w:val="21"/>
          <w:szCs w:val="21"/>
          <w:highlight w:val="none"/>
          <w:lang w:val="en-US" w:eastAsia="zh-CN" w:bidi="ar"/>
        </w:rPr>
        <w:t>原因引起的变更，其建安工程费采用以下办法结算：由</w:t>
      </w:r>
      <w:r>
        <w:rPr>
          <w:rFonts w:hint="eastAsia" w:ascii="宋体" w:hAnsi="宋体" w:eastAsia="宋体" w:cs="宋体"/>
          <w:color w:val="000000"/>
          <w:kern w:val="0"/>
          <w:sz w:val="21"/>
          <w:szCs w:val="21"/>
          <w:highlight w:val="none"/>
          <w:lang w:val="en-US" w:eastAsia="zh-CN" w:bidi="ar"/>
        </w:rPr>
        <w:t>比选人</w:t>
      </w:r>
      <w:r>
        <w:rPr>
          <w:rFonts w:hint="default" w:ascii="宋体" w:hAnsi="宋体" w:eastAsia="宋体" w:cs="宋体"/>
          <w:color w:val="000000"/>
          <w:kern w:val="0"/>
          <w:sz w:val="21"/>
          <w:szCs w:val="21"/>
          <w:highlight w:val="none"/>
          <w:lang w:val="en-US" w:eastAsia="zh-CN" w:bidi="ar"/>
        </w:rPr>
        <w:t>委托第三方咨询机构审定的工程量清单中有相同清单的，执行该清单价格；有类似清单的，按类似清单进行结算；即无相同清单也无类似清单的，按合同及</w:t>
      </w:r>
      <w:r>
        <w:rPr>
          <w:rFonts w:hint="eastAsia" w:ascii="宋体" w:hAnsi="宋体" w:eastAsia="宋体" w:cs="宋体"/>
          <w:color w:val="000000"/>
          <w:kern w:val="0"/>
          <w:sz w:val="21"/>
          <w:szCs w:val="21"/>
          <w:highlight w:val="none"/>
          <w:lang w:val="en-US" w:eastAsia="zh-CN" w:bidi="ar"/>
        </w:rPr>
        <w:t>比选文件</w:t>
      </w:r>
      <w:r>
        <w:rPr>
          <w:rFonts w:hint="default" w:ascii="宋体" w:hAnsi="宋体" w:eastAsia="宋体" w:cs="宋体"/>
          <w:color w:val="000000"/>
          <w:kern w:val="0"/>
          <w:sz w:val="21"/>
          <w:szCs w:val="21"/>
          <w:highlight w:val="none"/>
          <w:lang w:val="en-US" w:eastAsia="zh-CN" w:bidi="ar"/>
        </w:rPr>
        <w:t>载明的建安工程费报价、计价原则以及</w:t>
      </w:r>
      <w:r>
        <w:rPr>
          <w:rFonts w:hint="eastAsia" w:ascii="宋体" w:hAnsi="宋体" w:eastAsia="宋体" w:cs="宋体"/>
          <w:color w:val="000000"/>
          <w:kern w:val="0"/>
          <w:sz w:val="21"/>
          <w:szCs w:val="21"/>
          <w:highlight w:val="none"/>
          <w:lang w:val="en-US" w:eastAsia="zh-CN" w:bidi="ar"/>
        </w:rPr>
        <w:t>中选</w:t>
      </w:r>
      <w:r>
        <w:rPr>
          <w:rFonts w:hint="default" w:ascii="宋体" w:hAnsi="宋体" w:eastAsia="宋体" w:cs="宋体"/>
          <w:color w:val="000000"/>
          <w:kern w:val="0"/>
          <w:sz w:val="21"/>
          <w:szCs w:val="21"/>
          <w:highlight w:val="none"/>
          <w:lang w:val="en-US" w:eastAsia="zh-CN" w:bidi="ar"/>
        </w:rPr>
        <w:t>下浮比</w:t>
      </w:r>
      <w:r>
        <w:rPr>
          <w:rFonts w:hint="eastAsia" w:ascii="宋体" w:hAnsi="宋体" w:eastAsia="宋体" w:cs="宋体"/>
          <w:color w:val="000000"/>
          <w:kern w:val="0"/>
          <w:sz w:val="21"/>
          <w:szCs w:val="21"/>
          <w:highlight w:val="none"/>
          <w:lang w:val="en-US" w:eastAsia="zh-CN" w:bidi="ar"/>
        </w:rPr>
        <w:t xml:space="preserve">例（中标下浮比例=1-建筑安装工程费固定费率）和范围进行结算。 </w:t>
      </w:r>
    </w:p>
    <w:p w14:paraId="6E695C7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8）若根据前述规定计算的工程费结算金额超过结算限额的，则按结算限额进行结算；若未超过，则按前述规定据实结算。</w:t>
      </w:r>
    </w:p>
    <w:p w14:paraId="535FAFC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9）结算的其他约定：中选人提交的结算经比选人审核，若审减率在5%(含5%)以内，审计机构收取的基本审核费和审减效益费由比选人承担；若审减率超过5%，则审计机构收取的基本审核费由比选人承担，但审减效益费（按审减金额的5%计取，含审减5%以内的和审减超过5%以外的）均由中选人承担。比选人有权在应付中选人的款项中直接扣除。 </w:t>
      </w:r>
    </w:p>
    <w:p w14:paraId="2270847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10）本工程最终以比选人上级单位委托的审计单位审定金额作为结算价。</w:t>
      </w:r>
    </w:p>
    <w:p w14:paraId="4D684C0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2.1.3其他费用结算原则：按合同相关约定执行 。 </w:t>
      </w:r>
    </w:p>
    <w:p w14:paraId="6DAFD4A5">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宋体" w:hAnsi="宋体"/>
          <w:b/>
          <w:bCs/>
          <w:color w:val="000000"/>
          <w:szCs w:val="21"/>
          <w:highlight w:val="none"/>
        </w:rPr>
      </w:pPr>
      <w:r>
        <w:rPr>
          <w:rFonts w:ascii="宋体" w:hAnsi="宋体"/>
          <w:b/>
          <w:bCs/>
          <w:color w:val="000000"/>
          <w:szCs w:val="21"/>
          <w:highlight w:val="none"/>
        </w:rPr>
        <w:t>2.2费用支付</w:t>
      </w:r>
    </w:p>
    <w:p w14:paraId="0359131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2.2.1安装工程设计费：</w:t>
      </w:r>
    </w:p>
    <w:p w14:paraId="56A29452">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b w:val="0"/>
          <w:bCs w:val="0"/>
          <w:color w:val="000000"/>
          <w:szCs w:val="21"/>
          <w:highlight w:val="none"/>
          <w:lang w:val="en-US" w:eastAsia="zh-CN"/>
        </w:rPr>
        <w:t>（1）乙方</w:t>
      </w:r>
      <w:r>
        <w:rPr>
          <w:rFonts w:hint="eastAsia" w:ascii="宋体" w:hAnsi="宋体"/>
          <w:snapToGrid w:val="0"/>
          <w:kern w:val="0"/>
          <w:szCs w:val="21"/>
          <w:highlight w:val="none"/>
          <w:u w:val="none"/>
          <w:lang w:val="en-US" w:eastAsia="zh-CN"/>
        </w:rPr>
        <w:t>完成施工图设计，并报甲方审批通过后，支付设计费的70%，在甲方收到</w:t>
      </w:r>
      <w:r>
        <w:rPr>
          <w:rFonts w:hint="eastAsia" w:ascii="宋体" w:hAnsi="宋体"/>
          <w:color w:val="000000"/>
          <w:szCs w:val="21"/>
          <w:highlight w:val="none"/>
        </w:rPr>
        <w:t>乙方开具的等额正式发票后</w:t>
      </w:r>
      <w:r>
        <w:rPr>
          <w:rFonts w:ascii="宋体" w:hAnsi="宋体"/>
          <w:color w:val="000000"/>
          <w:szCs w:val="21"/>
          <w:highlight w:val="none"/>
        </w:rPr>
        <w:t>7</w:t>
      </w:r>
      <w:r>
        <w:rPr>
          <w:rFonts w:hint="eastAsia" w:ascii="宋体" w:hAnsi="宋体"/>
          <w:color w:val="000000"/>
          <w:szCs w:val="21"/>
          <w:highlight w:val="none"/>
        </w:rPr>
        <w:t>个工作日内，甲方向乙方支付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p>
    <w:p w14:paraId="0115455B">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2</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乙方完成施工，经甲方验收通过后，甲方向乙方支付设计费剩余的30%，</w:t>
      </w:r>
      <w:r>
        <w:rPr>
          <w:rFonts w:hint="eastAsia" w:ascii="宋体" w:hAnsi="宋体"/>
          <w:color w:val="000000"/>
          <w:szCs w:val="21"/>
          <w:highlight w:val="none"/>
        </w:rPr>
        <w:t>在甲方收到乙方开具的等额正式发票后 7个工作日内，甲方向乙方支付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p>
    <w:p w14:paraId="2259F45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2.2.2工程费：</w:t>
      </w:r>
    </w:p>
    <w:p w14:paraId="150819E3">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eastAsia="宋体"/>
          <w:color w:val="000000"/>
          <w:szCs w:val="21"/>
          <w:highlight w:val="none"/>
          <w:lang w:eastAsia="zh-CN"/>
        </w:rPr>
      </w:pPr>
      <w:r>
        <w:rPr>
          <w:rFonts w:hint="eastAsia" w:ascii="宋体" w:hAnsi="宋体"/>
          <w:b w:val="0"/>
          <w:bCs w:val="0"/>
          <w:color w:val="000000"/>
          <w:szCs w:val="21"/>
          <w:highlight w:val="none"/>
          <w:lang w:val="en-US" w:eastAsia="zh-CN"/>
        </w:rPr>
        <w:t>（1）乙方完成施工，经甲方验收通过后1个月内，甲方向乙方支付合格工程量的70%，</w:t>
      </w:r>
      <w:r>
        <w:rPr>
          <w:rFonts w:hint="eastAsia" w:ascii="宋体" w:hAnsi="宋体"/>
          <w:color w:val="000000"/>
          <w:szCs w:val="21"/>
          <w:highlight w:val="none"/>
        </w:rPr>
        <w:t>在，甲方向乙方支付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支付前</w:t>
      </w:r>
      <w:r>
        <w:rPr>
          <w:rFonts w:hint="eastAsia" w:ascii="宋体" w:hAnsi="宋体"/>
          <w:color w:val="000000"/>
          <w:szCs w:val="21"/>
          <w:highlight w:val="none"/>
        </w:rPr>
        <w:t>乙方</w:t>
      </w:r>
      <w:r>
        <w:rPr>
          <w:rFonts w:hint="eastAsia" w:ascii="宋体" w:hAnsi="宋体"/>
          <w:color w:val="000000"/>
          <w:szCs w:val="21"/>
          <w:highlight w:val="none"/>
          <w:lang w:val="en-US" w:eastAsia="zh-CN"/>
        </w:rPr>
        <w:t>须</w:t>
      </w:r>
      <w:r>
        <w:rPr>
          <w:rFonts w:hint="eastAsia" w:ascii="宋体" w:hAnsi="宋体"/>
          <w:color w:val="000000"/>
          <w:szCs w:val="21"/>
          <w:highlight w:val="none"/>
        </w:rPr>
        <w:t>开具等额正式</w:t>
      </w:r>
      <w:r>
        <w:rPr>
          <w:rFonts w:hint="eastAsia" w:ascii="宋体" w:hAnsi="宋体"/>
          <w:color w:val="000000"/>
          <w:szCs w:val="21"/>
          <w:highlight w:val="none"/>
          <w:lang w:val="en-US" w:eastAsia="zh-CN"/>
        </w:rPr>
        <w:t>增值税专用</w:t>
      </w:r>
      <w:r>
        <w:rPr>
          <w:rFonts w:hint="eastAsia" w:ascii="宋体" w:hAnsi="宋体"/>
          <w:color w:val="000000"/>
          <w:szCs w:val="21"/>
          <w:highlight w:val="none"/>
        </w:rPr>
        <w:t>发票</w:t>
      </w:r>
      <w:r>
        <w:rPr>
          <w:rFonts w:hint="eastAsia" w:ascii="宋体" w:hAnsi="宋体"/>
          <w:color w:val="000000"/>
          <w:szCs w:val="21"/>
          <w:highlight w:val="none"/>
          <w:lang w:eastAsia="zh-CN"/>
        </w:rPr>
        <w:t>。</w:t>
      </w:r>
    </w:p>
    <w:p w14:paraId="2527BAC7">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2</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经甲方委托的第三方咨询机构结算审计完成后1个月内，支付支至工程结算审计金额的95%，</w:t>
      </w:r>
      <w:r>
        <w:rPr>
          <w:rFonts w:hint="eastAsia" w:ascii="宋体" w:hAnsi="宋体"/>
          <w:color w:val="000000"/>
          <w:szCs w:val="21"/>
          <w:highlight w:val="none"/>
        </w:rPr>
        <w:t>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支付前</w:t>
      </w:r>
      <w:r>
        <w:rPr>
          <w:rFonts w:hint="eastAsia" w:ascii="宋体" w:hAnsi="宋体"/>
          <w:color w:val="000000"/>
          <w:szCs w:val="21"/>
          <w:highlight w:val="none"/>
        </w:rPr>
        <w:t>乙方</w:t>
      </w:r>
      <w:r>
        <w:rPr>
          <w:rFonts w:hint="eastAsia" w:ascii="宋体" w:hAnsi="宋体"/>
          <w:color w:val="000000"/>
          <w:szCs w:val="21"/>
          <w:highlight w:val="none"/>
          <w:lang w:val="en-US" w:eastAsia="zh-CN"/>
        </w:rPr>
        <w:t>须</w:t>
      </w:r>
      <w:r>
        <w:rPr>
          <w:rFonts w:hint="eastAsia" w:ascii="宋体" w:hAnsi="宋体"/>
          <w:color w:val="000000"/>
          <w:szCs w:val="21"/>
          <w:highlight w:val="none"/>
        </w:rPr>
        <w:t>开具等额正式</w:t>
      </w:r>
      <w:r>
        <w:rPr>
          <w:rFonts w:hint="eastAsia" w:ascii="宋体" w:hAnsi="宋体"/>
          <w:color w:val="000000"/>
          <w:szCs w:val="21"/>
          <w:highlight w:val="none"/>
          <w:lang w:val="en-US" w:eastAsia="zh-CN"/>
        </w:rPr>
        <w:t>增值税专用</w:t>
      </w:r>
      <w:r>
        <w:rPr>
          <w:rFonts w:hint="eastAsia" w:ascii="宋体" w:hAnsi="宋体"/>
          <w:color w:val="000000"/>
          <w:szCs w:val="21"/>
          <w:highlight w:val="none"/>
        </w:rPr>
        <w:t>发票</w:t>
      </w:r>
      <w:r>
        <w:rPr>
          <w:rFonts w:hint="eastAsia" w:ascii="宋体" w:hAnsi="宋体"/>
          <w:color w:val="000000"/>
          <w:szCs w:val="21"/>
          <w:highlight w:val="none"/>
          <w:lang w:eastAsia="zh-CN"/>
        </w:rPr>
        <w:t>。</w:t>
      </w:r>
    </w:p>
    <w:p w14:paraId="2433D823">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b w:val="0"/>
          <w:bCs w:val="0"/>
          <w:color w:val="000000"/>
          <w:szCs w:val="21"/>
          <w:highlight w:val="none"/>
          <w:lang w:val="en-US" w:eastAsia="zh-CN"/>
        </w:rPr>
      </w:pPr>
      <w:r>
        <w:rPr>
          <w:rFonts w:hint="eastAsia" w:ascii="宋体" w:hAnsi="宋体"/>
          <w:color w:val="000000"/>
          <w:szCs w:val="21"/>
          <w:highlight w:val="none"/>
          <w:lang w:val="en-US" w:eastAsia="zh-CN"/>
        </w:rPr>
        <w:t>（3）剩余5%工程审定金额作为质保金，在工程缺陷责任期满后无息退还。</w:t>
      </w:r>
    </w:p>
    <w:p w14:paraId="6F78FDF9">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b w:val="0"/>
          <w:bCs w:val="0"/>
          <w:color w:val="000000"/>
          <w:szCs w:val="21"/>
          <w:highlight w:val="none"/>
          <w:lang w:val="en-US" w:eastAsia="zh-CN"/>
        </w:rPr>
      </w:pPr>
    </w:p>
    <w:p w14:paraId="1E7E96E2">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color w:val="000000"/>
          <w:szCs w:val="21"/>
          <w:highlight w:val="none"/>
          <w:lang w:val="en-US" w:eastAsia="zh-CN"/>
        </w:rPr>
      </w:pPr>
    </w:p>
    <w:p w14:paraId="7A0B6B9F">
      <w:pPr>
        <w:pStyle w:val="2"/>
        <w:rPr>
          <w:rFonts w:hint="eastAsia"/>
          <w:lang w:eastAsia="zh-CN"/>
        </w:rPr>
      </w:pPr>
    </w:p>
    <w:p w14:paraId="5356E54E">
      <w:pPr>
        <w:pStyle w:val="2"/>
        <w:rPr>
          <w:highlight w:val="none"/>
        </w:rPr>
      </w:pPr>
    </w:p>
    <w:p w14:paraId="4E6FADDA">
      <w:pPr>
        <w:rPr>
          <w:highlight w:val="none"/>
        </w:rPr>
      </w:pPr>
      <w:r>
        <w:rPr>
          <w:rFonts w:hint="eastAsia" w:ascii="宋体" w:hAnsi="宋体"/>
          <w:highlight w:val="none"/>
          <w:lang w:val="en-US" w:eastAsia="zh-CN"/>
        </w:rPr>
        <w:br w:type="page"/>
      </w:r>
    </w:p>
    <w:p w14:paraId="57891B2B">
      <w:pPr>
        <w:rPr>
          <w:highlight w:val="none"/>
        </w:rPr>
      </w:pPr>
    </w:p>
    <w:p w14:paraId="12564766">
      <w:pPr>
        <w:pStyle w:val="3"/>
        <w:spacing w:line="360" w:lineRule="auto"/>
        <w:jc w:val="center"/>
        <w:rPr>
          <w:rFonts w:ascii="宋体" w:hAnsi="宋体"/>
          <w:sz w:val="36"/>
          <w:szCs w:val="36"/>
          <w:highlight w:val="none"/>
        </w:rPr>
      </w:pPr>
      <w:r>
        <w:rPr>
          <w:rFonts w:hint="eastAsia" w:ascii="宋体" w:hAnsi="宋体"/>
          <w:highlight w:val="none"/>
        </w:rPr>
        <w:t>第</w:t>
      </w:r>
      <w:r>
        <w:rPr>
          <w:rFonts w:hint="eastAsia" w:ascii="宋体" w:hAnsi="宋体"/>
          <w:highlight w:val="none"/>
          <w:lang w:val="en-US" w:eastAsia="zh-CN"/>
        </w:rPr>
        <w:t>五</w:t>
      </w:r>
      <w:r>
        <w:rPr>
          <w:rFonts w:hint="eastAsia" w:ascii="宋体" w:hAnsi="宋体"/>
          <w:highlight w:val="none"/>
        </w:rPr>
        <w:t>章  参选文件格式</w:t>
      </w:r>
    </w:p>
    <w:p w14:paraId="69D19BA3">
      <w:pPr>
        <w:spacing w:line="360" w:lineRule="auto"/>
        <w:jc w:val="center"/>
        <w:outlineLvl w:val="0"/>
        <w:rPr>
          <w:rFonts w:ascii="宋体" w:hAnsi="宋体"/>
          <w:sz w:val="36"/>
          <w:szCs w:val="36"/>
          <w:highlight w:val="none"/>
        </w:rPr>
      </w:pPr>
      <w:r>
        <w:rPr>
          <w:rFonts w:hint="eastAsia" w:ascii="宋体" w:hAnsi="宋体"/>
          <w:sz w:val="36"/>
          <w:szCs w:val="36"/>
          <w:highlight w:val="none"/>
        </w:rPr>
        <w:t>目  录</w:t>
      </w:r>
    </w:p>
    <w:p w14:paraId="0558F818">
      <w:pPr>
        <w:spacing w:line="360" w:lineRule="auto"/>
        <w:jc w:val="center"/>
        <w:rPr>
          <w:rFonts w:ascii="宋体" w:hAnsi="宋体"/>
          <w:szCs w:val="20"/>
          <w:highlight w:val="none"/>
        </w:rPr>
      </w:pPr>
    </w:p>
    <w:p w14:paraId="453D9CCF">
      <w:pPr>
        <w:spacing w:line="360" w:lineRule="auto"/>
        <w:outlineLvl w:val="0"/>
        <w:rPr>
          <w:rFonts w:ascii="宋体" w:hAnsi="宋体"/>
          <w:b/>
          <w:highlight w:val="none"/>
        </w:rPr>
      </w:pPr>
      <w:r>
        <w:rPr>
          <w:rFonts w:hint="eastAsia" w:ascii="宋体" w:hAnsi="宋体"/>
          <w:b/>
          <w:highlight w:val="none"/>
        </w:rPr>
        <w:t>一</w:t>
      </w:r>
      <w:r>
        <w:rPr>
          <w:rFonts w:ascii="宋体" w:hAnsi="宋体"/>
          <w:b/>
          <w:highlight w:val="none"/>
        </w:rPr>
        <w:t>、</w:t>
      </w:r>
      <w:r>
        <w:rPr>
          <w:rFonts w:hint="eastAsia" w:ascii="宋体" w:hAnsi="宋体"/>
          <w:b/>
          <w:highlight w:val="none"/>
        </w:rPr>
        <w:t>报价文件</w:t>
      </w:r>
    </w:p>
    <w:p w14:paraId="24628D10">
      <w:pPr>
        <w:spacing w:line="360" w:lineRule="auto"/>
        <w:ind w:firstLine="420" w:firstLineChars="200"/>
        <w:rPr>
          <w:rFonts w:ascii="宋体" w:hAnsi="宋体"/>
          <w:highlight w:val="none"/>
        </w:rPr>
      </w:pPr>
      <w:r>
        <w:rPr>
          <w:rFonts w:ascii="宋体" w:hAnsi="宋体"/>
          <w:highlight w:val="none"/>
        </w:rPr>
        <w:t>（一）参选函</w:t>
      </w:r>
    </w:p>
    <w:p w14:paraId="450D4F8A">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rPr>
        <w:t>法定代表人身份证明或附有法定代表人身份证明的授权委托书</w:t>
      </w:r>
    </w:p>
    <w:p w14:paraId="5FEB6EFD">
      <w:pPr>
        <w:spacing w:line="360" w:lineRule="auto"/>
        <w:outlineLvl w:val="0"/>
        <w:rPr>
          <w:rFonts w:ascii="宋体" w:hAnsi="宋体"/>
          <w:b/>
          <w:highlight w:val="none"/>
        </w:rPr>
      </w:pPr>
      <w:r>
        <w:rPr>
          <w:rFonts w:hint="eastAsia" w:ascii="宋体" w:hAnsi="宋体"/>
          <w:b/>
          <w:highlight w:val="none"/>
        </w:rPr>
        <w:t>二</w:t>
      </w:r>
      <w:r>
        <w:rPr>
          <w:rFonts w:ascii="宋体" w:hAnsi="宋体"/>
          <w:b/>
          <w:highlight w:val="none"/>
        </w:rPr>
        <w:t>、技术部分</w:t>
      </w:r>
    </w:p>
    <w:p w14:paraId="5A79312C">
      <w:pPr>
        <w:spacing w:line="360" w:lineRule="auto"/>
        <w:outlineLvl w:val="0"/>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资格审查部分</w:t>
      </w:r>
    </w:p>
    <w:p w14:paraId="51CFF70A">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营业执照</w:t>
      </w:r>
    </w:p>
    <w:p w14:paraId="578C89C9">
      <w:pPr>
        <w:spacing w:line="360" w:lineRule="auto"/>
        <w:ind w:firstLine="420" w:firstLineChars="200"/>
        <w:rPr>
          <w:rFonts w:ascii="宋体" w:hAnsi="宋体"/>
          <w:szCs w:val="21"/>
          <w:highlight w:val="none"/>
        </w:rPr>
      </w:pPr>
      <w:r>
        <w:rPr>
          <w:rFonts w:hint="eastAsia" w:ascii="宋体" w:hAnsi="宋体"/>
          <w:szCs w:val="21"/>
          <w:highlight w:val="none"/>
        </w:rPr>
        <w:t xml:space="preserve">（二）法定代表人身份证明或附有法定代表人身份证明的授权委托书                                                                                                  </w:t>
      </w:r>
    </w:p>
    <w:p w14:paraId="7FAECF2D">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三</w:t>
      </w:r>
      <w:r>
        <w:rPr>
          <w:rFonts w:ascii="宋体" w:hAnsi="宋体"/>
          <w:szCs w:val="21"/>
          <w:highlight w:val="none"/>
        </w:rPr>
        <w:t>）</w:t>
      </w:r>
      <w:r>
        <w:rPr>
          <w:rFonts w:hint="eastAsia" w:ascii="宋体" w:hAnsi="宋体"/>
          <w:szCs w:val="21"/>
          <w:highlight w:val="none"/>
        </w:rPr>
        <w:t>承诺</w:t>
      </w:r>
    </w:p>
    <w:p w14:paraId="15C3CCB7">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）其他资料</w:t>
      </w:r>
      <w:r>
        <w:rPr>
          <w:rFonts w:hint="eastAsia" w:ascii="宋体" w:hAnsi="宋体"/>
          <w:szCs w:val="21"/>
          <w:highlight w:val="none"/>
        </w:rPr>
        <w:t>（业绩证明材料等）</w:t>
      </w:r>
    </w:p>
    <w:p w14:paraId="49FCDDDB">
      <w:pPr>
        <w:pStyle w:val="2"/>
        <w:rPr>
          <w:rFonts w:ascii="宋体" w:hAnsi="宋体"/>
          <w:szCs w:val="21"/>
          <w:highlight w:val="none"/>
        </w:rPr>
      </w:pPr>
    </w:p>
    <w:p w14:paraId="76F83F21">
      <w:pPr>
        <w:keepNext/>
        <w:keepLines/>
        <w:spacing w:before="260" w:after="260" w:line="360" w:lineRule="auto"/>
        <w:jc w:val="center"/>
        <w:outlineLvl w:val="1"/>
        <w:rPr>
          <w:rFonts w:ascii="宋体" w:hAnsi="宋体"/>
          <w:sz w:val="44"/>
          <w:szCs w:val="44"/>
          <w:highlight w:val="none"/>
        </w:rPr>
        <w:sectPr>
          <w:footerReference r:id="rId4" w:type="default"/>
          <w:pgSz w:w="11906" w:h="16838"/>
          <w:pgMar w:top="1440" w:right="1800" w:bottom="1440" w:left="1800" w:header="851" w:footer="992" w:gutter="0"/>
          <w:cols w:space="720" w:num="1"/>
          <w:docGrid w:type="lines" w:linePitch="312" w:charSpace="0"/>
        </w:sectPr>
      </w:pPr>
    </w:p>
    <w:p w14:paraId="11B4DF5B">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t>一、报价文件</w:t>
      </w:r>
    </w:p>
    <w:p w14:paraId="3170D10C">
      <w:pPr>
        <w:tabs>
          <w:tab w:val="left" w:pos="6300"/>
        </w:tabs>
        <w:snapToGrid w:val="0"/>
        <w:spacing w:line="312" w:lineRule="auto"/>
        <w:ind w:firstLine="480" w:firstLineChars="200"/>
        <w:outlineLvl w:val="1"/>
        <w:rPr>
          <w:rFonts w:ascii="宋体" w:hAnsi="宋体" w:cs="宋体"/>
          <w:bCs/>
          <w:sz w:val="24"/>
          <w:highlight w:val="none"/>
        </w:rPr>
      </w:pPr>
      <w:r>
        <w:rPr>
          <w:rFonts w:hint="eastAsia" w:ascii="宋体" w:hAnsi="宋体" w:cs="宋体"/>
          <w:bCs/>
          <w:sz w:val="24"/>
          <w:highlight w:val="none"/>
        </w:rPr>
        <w:t>（一）参选报价函</w:t>
      </w:r>
    </w:p>
    <w:p w14:paraId="4D29AA41">
      <w:pPr>
        <w:spacing w:line="500" w:lineRule="exact"/>
        <w:jc w:val="center"/>
        <w:rPr>
          <w:rFonts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sz w:val="36"/>
          <w:szCs w:val="36"/>
          <w:highlight w:val="none"/>
          <w:lang w:val="en-US" w:eastAsia="zh-CN"/>
        </w:rPr>
        <w:t>阿依河景区夜景灯饰及声光电提升EPC工程</w:t>
      </w:r>
      <w:r>
        <w:rPr>
          <w:rFonts w:hint="eastAsia" w:ascii="方正小标宋_GBK" w:hAnsi="方正小标宋_GBK" w:eastAsia="方正小标宋_GBK" w:cs="方正小标宋_GBK"/>
          <w:b w:val="0"/>
          <w:bCs w:val="0"/>
          <w:sz w:val="36"/>
          <w:szCs w:val="36"/>
          <w:highlight w:val="none"/>
        </w:rPr>
        <w:t>》公开比选文件报价函</w:t>
      </w:r>
    </w:p>
    <w:p w14:paraId="1C926D2C">
      <w:pPr>
        <w:spacing w:line="260" w:lineRule="exact"/>
        <w:jc w:val="left"/>
        <w:rPr>
          <w:rFonts w:hint="eastAsia" w:ascii="方正仿宋_GBK" w:hAnsi="方正仿宋_GBK" w:eastAsia="方正仿宋_GBK" w:cs="方正仿宋_GBK"/>
          <w:sz w:val="24"/>
          <w:highlight w:val="none"/>
        </w:rPr>
      </w:pPr>
    </w:p>
    <w:p w14:paraId="38F291D1">
      <w:pPr>
        <w:spacing w:line="260" w:lineRule="exact"/>
        <w:jc w:val="left"/>
        <w:rPr>
          <w:rFonts w:hint="eastAsia" w:ascii="方正仿宋_GBK" w:hAnsi="方正仿宋_GBK" w:eastAsia="方正仿宋_GBK" w:cs="方正仿宋_GBK"/>
          <w:sz w:val="24"/>
          <w:highlight w:val="none"/>
        </w:rPr>
      </w:pPr>
    </w:p>
    <w:p w14:paraId="7CDCE864">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lang w:val="en-US" w:eastAsia="zh-CN"/>
        </w:rPr>
        <w:t>重庆乌江画廊旅游开发有限公司阿依河分公司</w:t>
      </w:r>
      <w:r>
        <w:rPr>
          <w:rFonts w:hint="eastAsia" w:ascii="方正仿宋_GBK" w:hAnsi="方正仿宋_GBK" w:eastAsia="方正仿宋_GBK" w:cs="方正仿宋_GBK"/>
          <w:sz w:val="24"/>
          <w:highlight w:val="none"/>
        </w:rPr>
        <w:t>：</w:t>
      </w:r>
    </w:p>
    <w:p w14:paraId="2907DFC2">
      <w:pPr>
        <w:spacing w:line="260" w:lineRule="exact"/>
        <w:ind w:firstLine="480"/>
        <w:jc w:val="left"/>
        <w:rPr>
          <w:highlight w:val="none"/>
        </w:rPr>
      </w:pPr>
      <w:r>
        <w:rPr>
          <w:rFonts w:hint="eastAsia" w:ascii="方正仿宋_GBK" w:hAnsi="方正仿宋_GBK" w:eastAsia="方正仿宋_GBK" w:cs="方正仿宋_GBK"/>
          <w:sz w:val="24"/>
          <w:highlight w:val="none"/>
        </w:rPr>
        <w:t>我方根据贵司关于《</w:t>
      </w:r>
      <w:r>
        <w:rPr>
          <w:rFonts w:hint="eastAsia" w:ascii="方正仿宋_GBK" w:hAnsi="方正仿宋_GBK" w:eastAsia="方正仿宋_GBK" w:cs="方正仿宋_GBK"/>
          <w:sz w:val="24"/>
          <w:highlight w:val="none"/>
          <w:lang w:val="en-US" w:eastAsia="zh-CN"/>
        </w:rPr>
        <w:t>阿依河景区夜景灯饰及声光电提升EPC工程</w:t>
      </w:r>
      <w:r>
        <w:rPr>
          <w:rFonts w:hint="eastAsia" w:ascii="方正仿宋_GBK" w:hAnsi="方正仿宋_GBK" w:eastAsia="方正仿宋_GBK" w:cs="方正仿宋_GBK"/>
          <w:sz w:val="24"/>
          <w:highlight w:val="none"/>
        </w:rPr>
        <w:t>》的要求，通过委任的全权代表，向贵方递交密封册装的全套报价文件参与下列项目的投标报价，现为我方的一切投标行为作郑重承诺及声明如下：</w:t>
      </w:r>
    </w:p>
    <w:p w14:paraId="7A13929F">
      <w:pPr>
        <w:spacing w:line="260" w:lineRule="exact"/>
        <w:ind w:firstLine="480"/>
        <w:jc w:val="left"/>
        <w:rPr>
          <w:rFonts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报价项目名称：《</w:t>
      </w:r>
      <w:r>
        <w:rPr>
          <w:rFonts w:hint="eastAsia" w:ascii="方正仿宋_GBK" w:hAnsi="方正仿宋_GBK" w:eastAsia="方正仿宋_GBK" w:cs="方正仿宋_GBK"/>
          <w:sz w:val="24"/>
          <w:highlight w:val="none"/>
          <w:lang w:val="en-US" w:eastAsia="zh-CN"/>
        </w:rPr>
        <w:t>阿依河景区夜景灯饰及声光电提升EPC工程</w:t>
      </w:r>
      <w:r>
        <w:rPr>
          <w:rFonts w:hint="eastAsia" w:ascii="方正仿宋_GBK" w:hAnsi="方正仿宋_GBK" w:eastAsia="方正仿宋_GBK" w:cs="方正仿宋_GBK"/>
          <w:sz w:val="24"/>
          <w:highlight w:val="none"/>
        </w:rPr>
        <w:t>》</w:t>
      </w:r>
    </w:p>
    <w:p w14:paraId="37CDED3F">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我方已认真阅读了全部比选文件及其相关文件，完全清楚理解其内容及规约，明白该项目为风险合作，同意接受文件的要求，均没有任何异议、质疑和误解之处。</w:t>
      </w:r>
    </w:p>
    <w:p w14:paraId="03BBC1EF">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我方所提供的一切文件均已经过认真、严格的审核，其内容均为合法真实、准确有效且毫无遗漏和保留，绝无任何虚假、伪造和夸大的成份，若出现违背诚实信用和无如实告知之处，愿独自承担相应的法律责任。</w:t>
      </w:r>
    </w:p>
    <w:p w14:paraId="69973DAF">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报价有效期为自递交报价文件起至确定为中标人，若我方获成交资格，报价有效期则相应延长至项目最终验收合格并结算完毕之日，不论在任何时候，定将按贵方的要求在规定时间内保质保量的完成服务任务。</w:t>
      </w:r>
    </w:p>
    <w:p w14:paraId="70220268">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完全服从和尊重评审结果和决定，同时清楚理解到仅凭投标报价或单一竞争优势并非是决定成交资格的唯一重要依据。</w:t>
      </w:r>
    </w:p>
    <w:p w14:paraId="14285707">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6</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同意按报价文件要求认真履行成交人的义务，若我方行为不当而损害了贵方的合法权益，我方愿在任何时候无条件承担相应的缔约过失责任和经济赔偿。</w:t>
      </w:r>
    </w:p>
    <w:p w14:paraId="5B0A6EE3">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7</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我方在参与本次比选活动中，不曾以任何不正当的手段影响、串通、排斥有关当事人或谋取、施予非法利益，如有行为不当，愿独自承担此行为所造成的后果和法律责任。</w:t>
      </w:r>
    </w:p>
    <w:p w14:paraId="6F48E691">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8</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 xml:space="preserve">本承诺函效力及范围均涵盖整套报价文件和一切补充文件。 </w:t>
      </w:r>
    </w:p>
    <w:p w14:paraId="7B778873">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9</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该报价包括但不限于人工费、差旅费、调研费、专家费、数据采集、IP资源整合、信息搭建、数据维运、模块设计、商业测算、模型测试等费用。</w:t>
      </w:r>
    </w:p>
    <w:p w14:paraId="7E685800">
      <w:pPr>
        <w:spacing w:line="260" w:lineRule="exact"/>
        <w:ind w:firstLine="480" w:firstLineChars="200"/>
        <w:jc w:val="left"/>
        <w:rPr>
          <w:rFonts w:hint="eastAsia" w:ascii="方正仿宋_GBK" w:hAnsi="方正仿宋_GBK" w:eastAsia="方正仿宋_GBK" w:cs="方正仿宋_GBK"/>
          <w:sz w:val="24"/>
          <w:highlight w:val="none"/>
          <w:vertAlign w:val="baseline"/>
        </w:rPr>
      </w:pPr>
      <w:r>
        <w:rPr>
          <w:rFonts w:hint="eastAsia" w:ascii="方正仿宋_GBK" w:hAnsi="方正仿宋_GBK" w:eastAsia="方正仿宋_GBK" w:cs="方正仿宋_GBK"/>
          <w:sz w:val="24"/>
          <w:highlight w:val="none"/>
        </w:rPr>
        <w:t>10</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我方愿意以按照服务内容中的一切要求，提供本项目的所有服务，报价如下：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575"/>
        <w:gridCol w:w="2648"/>
        <w:gridCol w:w="2257"/>
        <w:gridCol w:w="1271"/>
      </w:tblGrid>
      <w:tr w14:paraId="33B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noWrap w:val="0"/>
            <w:vAlign w:val="center"/>
          </w:tcPr>
          <w:p w14:paraId="79A34F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序号</w:t>
            </w:r>
          </w:p>
        </w:tc>
        <w:tc>
          <w:tcPr>
            <w:tcW w:w="1575" w:type="dxa"/>
            <w:noWrap w:val="0"/>
            <w:vAlign w:val="center"/>
          </w:tcPr>
          <w:p w14:paraId="694853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名称</w:t>
            </w:r>
          </w:p>
        </w:tc>
        <w:tc>
          <w:tcPr>
            <w:tcW w:w="2648" w:type="dxa"/>
            <w:noWrap w:val="0"/>
            <w:vAlign w:val="center"/>
          </w:tcPr>
          <w:p w14:paraId="1EE80F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设计费限价/最高固定费率</w:t>
            </w:r>
          </w:p>
        </w:tc>
        <w:tc>
          <w:tcPr>
            <w:tcW w:w="2257" w:type="dxa"/>
            <w:noWrap w:val="0"/>
            <w:vAlign w:val="center"/>
          </w:tcPr>
          <w:p w14:paraId="733B6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报价</w:t>
            </w:r>
          </w:p>
        </w:tc>
        <w:tc>
          <w:tcPr>
            <w:tcW w:w="1271" w:type="dxa"/>
            <w:noWrap w:val="0"/>
            <w:vAlign w:val="center"/>
          </w:tcPr>
          <w:p w14:paraId="26796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备注</w:t>
            </w:r>
          </w:p>
        </w:tc>
      </w:tr>
      <w:tr w14:paraId="6210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41A68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1</w:t>
            </w:r>
          </w:p>
        </w:tc>
        <w:tc>
          <w:tcPr>
            <w:tcW w:w="1575" w:type="dxa"/>
            <w:noWrap w:val="0"/>
            <w:vAlign w:val="center"/>
          </w:tcPr>
          <w:p w14:paraId="5C787F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安装工程设计费</w:t>
            </w:r>
          </w:p>
        </w:tc>
        <w:tc>
          <w:tcPr>
            <w:tcW w:w="2648" w:type="dxa"/>
            <w:noWrap w:val="0"/>
            <w:vAlign w:val="center"/>
          </w:tcPr>
          <w:p w14:paraId="292AB9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rPr>
            </w:pPr>
            <w:r>
              <w:rPr>
                <w:rFonts w:hint="eastAsia" w:ascii="方正仿宋_GBK" w:hAnsi="方正仿宋_GBK" w:eastAsia="方正仿宋_GBK" w:cs="方正仿宋_GBK"/>
                <w:sz w:val="24"/>
                <w:highlight w:val="none"/>
                <w:vertAlign w:val="baseline"/>
                <w:lang w:val="en-US" w:eastAsia="zh-CN"/>
              </w:rPr>
              <w:t>75924.94元</w:t>
            </w:r>
          </w:p>
        </w:tc>
        <w:tc>
          <w:tcPr>
            <w:tcW w:w="2257" w:type="dxa"/>
            <w:noWrap w:val="0"/>
            <w:vAlign w:val="center"/>
          </w:tcPr>
          <w:p w14:paraId="5829D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c>
          <w:tcPr>
            <w:tcW w:w="1271" w:type="dxa"/>
            <w:noWrap w:val="0"/>
            <w:vAlign w:val="center"/>
          </w:tcPr>
          <w:p w14:paraId="0E6DC7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r>
      <w:tr w14:paraId="6846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052C7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2</w:t>
            </w:r>
          </w:p>
        </w:tc>
        <w:tc>
          <w:tcPr>
            <w:tcW w:w="1575" w:type="dxa"/>
            <w:noWrap w:val="0"/>
            <w:vAlign w:val="center"/>
          </w:tcPr>
          <w:p w14:paraId="6CE27D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工程费</w:t>
            </w:r>
          </w:p>
        </w:tc>
        <w:tc>
          <w:tcPr>
            <w:tcW w:w="2648" w:type="dxa"/>
            <w:noWrap w:val="0"/>
            <w:vAlign w:val="center"/>
          </w:tcPr>
          <w:p w14:paraId="7BE00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92%</w:t>
            </w:r>
          </w:p>
        </w:tc>
        <w:tc>
          <w:tcPr>
            <w:tcW w:w="2257" w:type="dxa"/>
            <w:noWrap w:val="0"/>
            <w:vAlign w:val="center"/>
          </w:tcPr>
          <w:p w14:paraId="4BA38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c>
          <w:tcPr>
            <w:tcW w:w="1271" w:type="dxa"/>
            <w:noWrap w:val="0"/>
            <w:vAlign w:val="center"/>
          </w:tcPr>
          <w:p w14:paraId="3C51BC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r>
      <w:tr w14:paraId="6221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276CC5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highlight w:val="none"/>
                <w:vertAlign w:val="baseline"/>
              </w:rPr>
            </w:pPr>
            <w:r>
              <w:rPr>
                <w:rFonts w:hint="eastAsia" w:ascii="方正仿宋_GBK" w:hAnsi="方正仿宋_GBK" w:eastAsia="方正仿宋_GBK" w:cs="方正仿宋_GBK"/>
                <w:sz w:val="24"/>
                <w:highlight w:val="none"/>
                <w:vertAlign w:val="baseline"/>
              </w:rPr>
              <w:t>注：</w:t>
            </w:r>
            <w:r>
              <w:rPr>
                <w:rFonts w:hint="eastAsia" w:ascii="方正仿宋_GBK" w:hAnsi="方正仿宋_GBK" w:eastAsia="方正仿宋_GBK" w:cs="方正仿宋_GBK"/>
                <w:sz w:val="24"/>
                <w:highlight w:val="none"/>
                <w:vertAlign w:val="baseline"/>
                <w:lang w:eastAsia="zh-CN"/>
              </w:rPr>
              <w:t>“</w:t>
            </w:r>
            <w:r>
              <w:rPr>
                <w:rFonts w:hint="eastAsia" w:ascii="方正仿宋_GBK" w:hAnsi="方正仿宋_GBK" w:eastAsia="方正仿宋_GBK" w:cs="方正仿宋_GBK"/>
                <w:sz w:val="24"/>
                <w:highlight w:val="none"/>
                <w:vertAlign w:val="baseline"/>
                <w:lang w:val="en-US" w:eastAsia="zh-CN"/>
              </w:rPr>
              <w:t>报价一栏填报时</w:t>
            </w:r>
            <w:r>
              <w:rPr>
                <w:rFonts w:hint="eastAsia" w:ascii="方正仿宋_GBK" w:hAnsi="方正仿宋_GBK" w:eastAsia="方正仿宋_GBK" w:cs="方正仿宋_GBK"/>
                <w:sz w:val="24"/>
                <w:highlight w:val="none"/>
                <w:vertAlign w:val="baseline"/>
                <w:lang w:eastAsia="zh-CN"/>
              </w:rPr>
              <w:t>”</w:t>
            </w:r>
            <w:r>
              <w:rPr>
                <w:rFonts w:hint="eastAsia" w:ascii="方正仿宋_GBK" w:hAnsi="方正仿宋_GBK" w:eastAsia="方正仿宋_GBK" w:cs="方正仿宋_GBK"/>
                <w:sz w:val="24"/>
                <w:highlight w:val="none"/>
                <w:vertAlign w:val="baseline"/>
                <w:lang w:val="en-US" w:eastAsia="zh-CN"/>
              </w:rPr>
              <w:t xml:space="preserve">，应参照“设计费限价/最高固定费率”一栏格式填报 </w:t>
            </w:r>
            <w:r>
              <w:rPr>
                <w:rFonts w:hint="eastAsia" w:ascii="方正仿宋_GBK" w:hAnsi="方正仿宋_GBK" w:eastAsia="方正仿宋_GBK" w:cs="方正仿宋_GBK"/>
                <w:sz w:val="24"/>
                <w:highlight w:val="none"/>
                <w:vertAlign w:val="baseline"/>
              </w:rPr>
              <w:t>。</w:t>
            </w:r>
          </w:p>
        </w:tc>
      </w:tr>
    </w:tbl>
    <w:p w14:paraId="03723200">
      <w:pPr>
        <w:spacing w:line="260" w:lineRule="exact"/>
        <w:ind w:firstLine="480" w:firstLineChars="200"/>
        <w:jc w:val="left"/>
        <w:rPr>
          <w:rFonts w:hint="eastAsia" w:ascii="方正仿宋_GBK" w:hAnsi="方正仿宋_GBK" w:eastAsia="方正仿宋_GBK" w:cs="方正仿宋_GBK"/>
          <w:sz w:val="24"/>
          <w:highlight w:val="none"/>
        </w:rPr>
      </w:pPr>
    </w:p>
    <w:p w14:paraId="05380D95">
      <w:pPr>
        <w:spacing w:line="260" w:lineRule="exact"/>
        <w:ind w:firstLine="480" w:firstLineChars="200"/>
        <w:jc w:val="left"/>
        <w:rPr>
          <w:highlight w:val="none"/>
        </w:rPr>
      </w:pPr>
      <w:r>
        <w:rPr>
          <w:rFonts w:hint="eastAsia" w:ascii="方正仿宋_GBK" w:hAnsi="方正仿宋_GBK" w:eastAsia="方正仿宋_GBK" w:cs="方正仿宋_GBK"/>
          <w:sz w:val="24"/>
          <w:highlight w:val="none"/>
        </w:rPr>
        <w:t>公司承诺：待甲方通过项目投资决策后，甲方与乙方签订合作协议，其</w:t>
      </w:r>
      <w:r>
        <w:rPr>
          <w:rFonts w:hint="eastAsia" w:ascii="方正仿宋_GBK" w:hAnsi="方正仿宋_GBK" w:eastAsia="方正仿宋_GBK" w:cs="方正仿宋_GBK"/>
          <w:sz w:val="24"/>
          <w:highlight w:val="none"/>
          <w:lang w:val="en-US" w:eastAsia="zh-CN"/>
        </w:rPr>
        <w:t>相关</w:t>
      </w:r>
      <w:r>
        <w:rPr>
          <w:rFonts w:hint="eastAsia" w:ascii="方正仿宋_GBK" w:hAnsi="方正仿宋_GBK" w:eastAsia="方正仿宋_GBK" w:cs="方正仿宋_GBK"/>
          <w:sz w:val="24"/>
          <w:highlight w:val="none"/>
        </w:rPr>
        <w:t>阶段</w:t>
      </w:r>
      <w:r>
        <w:rPr>
          <w:rFonts w:hint="eastAsia" w:ascii="方正仿宋_GBK" w:hAnsi="方正仿宋_GBK" w:eastAsia="方正仿宋_GBK" w:cs="方正仿宋_GBK"/>
          <w:sz w:val="24"/>
          <w:highlight w:val="none"/>
          <w:lang w:val="en-US" w:eastAsia="zh-CN"/>
        </w:rPr>
        <w:t>工作</w:t>
      </w:r>
      <w:r>
        <w:rPr>
          <w:rFonts w:hint="eastAsia" w:ascii="方正仿宋_GBK" w:hAnsi="方正仿宋_GBK" w:eastAsia="方正仿宋_GBK" w:cs="方正仿宋_GBK"/>
          <w:sz w:val="24"/>
          <w:highlight w:val="none"/>
        </w:rPr>
        <w:t>的启动，以甲方正式通知为准</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各阶段工作完成后，按照合同约定的结算原则结算；</w:t>
      </w:r>
      <w:r>
        <w:rPr>
          <w:rFonts w:hint="eastAsia" w:ascii="方正仿宋_GBK" w:hAnsi="方正仿宋_GBK" w:eastAsia="方正仿宋_GBK" w:cs="方正仿宋_GBK"/>
          <w:sz w:val="24"/>
          <w:highlight w:val="none"/>
        </w:rPr>
        <w:t>若贵司未启动投资决策或未通过投资决策，则比选结果作废，终止合作。</w:t>
      </w:r>
    </w:p>
    <w:p w14:paraId="627C971C">
      <w:pPr>
        <w:spacing w:line="260" w:lineRule="exact"/>
        <w:jc w:val="left"/>
        <w:rPr>
          <w:rFonts w:hint="eastAsia" w:ascii="方正仿宋_GBK" w:hAnsi="方正仿宋_GBK" w:eastAsia="方正仿宋_GBK" w:cs="方正仿宋_GBK"/>
          <w:sz w:val="24"/>
          <w:highlight w:val="none"/>
        </w:rPr>
      </w:pPr>
    </w:p>
    <w:p w14:paraId="1210A31A">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报价人名称</w:t>
      </w:r>
      <w:r>
        <w:rPr>
          <w:rFonts w:hint="eastAsia" w:ascii="方正仿宋_GBK" w:hAnsi="方正仿宋_GBK" w:eastAsia="方正仿宋_GBK" w:cs="方正仿宋_GBK"/>
          <w:sz w:val="24"/>
          <w:highlight w:val="none"/>
          <w:u w:val="single"/>
        </w:rPr>
        <w:t>：</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u w:val="single"/>
        </w:rPr>
        <w:t xml:space="preserve">        （加盖公章）。</w:t>
      </w:r>
    </w:p>
    <w:p w14:paraId="5983342A">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负责人（代理人）：</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（签名或签章） 联系电话：</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u w:val="dotted"/>
        </w:rPr>
        <w:t xml:space="preserve">      </w:t>
      </w:r>
      <w:r>
        <w:rPr>
          <w:rFonts w:hint="eastAsia" w:ascii="方正仿宋_GBK" w:hAnsi="方正仿宋_GBK" w:eastAsia="方正仿宋_GBK" w:cs="方正仿宋_GBK"/>
          <w:sz w:val="24"/>
          <w:highlight w:val="none"/>
        </w:rPr>
        <w:t xml:space="preserve">  </w:t>
      </w:r>
    </w:p>
    <w:p w14:paraId="4A06B475">
      <w:pPr>
        <w:tabs>
          <w:tab w:val="left" w:pos="-378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日期：202</w:t>
      </w:r>
      <w:r>
        <w:rPr>
          <w:rFonts w:hint="eastAsia" w:ascii="方正仿宋_GBK" w:hAnsi="方正仿宋_GBK" w:eastAsia="方正仿宋_GBK" w:cs="方正仿宋_GBK"/>
          <w:sz w:val="24"/>
          <w:highlight w:val="none"/>
          <w:lang w:val="en-US" w:eastAsia="zh-CN"/>
        </w:rPr>
        <w:t>6</w:t>
      </w:r>
      <w:r>
        <w:rPr>
          <w:rFonts w:hint="eastAsia" w:ascii="方正仿宋_GBK" w:hAnsi="方正仿宋_GBK" w:eastAsia="方正仿宋_GBK" w:cs="方正仿宋_GBK"/>
          <w:sz w:val="24"/>
          <w:highlight w:val="none"/>
        </w:rPr>
        <w:t>年    月    日</w:t>
      </w:r>
    </w:p>
    <w:p w14:paraId="707F61CF">
      <w:pPr>
        <w:tabs>
          <w:tab w:val="left" w:pos="42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说明：1、不具备法人资格的报价人，须与设立主管的法人机构同时加盖公章。</w:t>
      </w:r>
    </w:p>
    <w:p w14:paraId="70C82614">
      <w:pPr>
        <w:numPr>
          <w:ilvl w:val="0"/>
          <w:numId w:val="0"/>
        </w:numPr>
        <w:tabs>
          <w:tab w:val="left" w:pos="420"/>
        </w:tabs>
        <w:spacing w:line="260" w:lineRule="exact"/>
        <w:ind w:firstLine="720" w:firstLineChars="300"/>
        <w:jc w:val="left"/>
        <w:rPr>
          <w:highlight w:val="none"/>
        </w:rPr>
      </w:pPr>
      <w:r>
        <w:rPr>
          <w:rFonts w:hint="eastAsia" w:ascii="方正仿宋_GBK" w:hAnsi="方正仿宋_GBK" w:eastAsia="方正仿宋_GBK" w:cs="方正仿宋_GBK"/>
          <w:sz w:val="24"/>
          <w:highlight w:val="none"/>
          <w:lang w:val="en-US" w:eastAsia="zh-CN"/>
        </w:rPr>
        <w:t>2、</w:t>
      </w:r>
      <w:r>
        <w:rPr>
          <w:rFonts w:hint="eastAsia" w:ascii="方正仿宋_GBK" w:hAnsi="方正仿宋_GBK" w:eastAsia="方正仿宋_GBK" w:cs="方正仿宋_GBK"/>
          <w:sz w:val="24"/>
          <w:highlight w:val="none"/>
        </w:rPr>
        <w:t>本承诺函内容若擅自删改，按废标处理。</w:t>
      </w:r>
    </w:p>
    <w:p w14:paraId="147AF240">
      <w:pPr>
        <w:rPr>
          <w:highlight w:val="none"/>
        </w:rPr>
      </w:pPr>
    </w:p>
    <w:p w14:paraId="7113E745">
      <w:pPr>
        <w:rPr>
          <w:highlight w:val="none"/>
        </w:rPr>
      </w:pPr>
      <w:r>
        <w:rPr>
          <w:highlight w:val="none"/>
        </w:rPr>
        <w:br w:type="page"/>
      </w:r>
    </w:p>
    <w:p w14:paraId="40AC6A1A"/>
    <w:p w14:paraId="722E7740">
      <w:pPr>
        <w:tabs>
          <w:tab w:val="left" w:pos="6300"/>
        </w:tabs>
        <w:snapToGrid w:val="0"/>
        <w:spacing w:line="312" w:lineRule="auto"/>
        <w:jc w:val="center"/>
        <w:outlineLvl w:val="1"/>
        <w:rPr>
          <w:rFonts w:ascii="宋体" w:hAnsi="宋体" w:cs="宋体"/>
          <w:bCs/>
          <w:sz w:val="24"/>
          <w:highlight w:val="none"/>
        </w:rPr>
      </w:pPr>
      <w:r>
        <w:rPr>
          <w:rFonts w:hint="eastAsia" w:ascii="宋体" w:hAnsi="宋体" w:cs="宋体"/>
          <w:bCs/>
          <w:sz w:val="24"/>
          <w:highlight w:val="none"/>
        </w:rPr>
        <w:t>（二）法定代表人身份证明或附有法定代表人身份证明的授权委托书</w:t>
      </w:r>
    </w:p>
    <w:p w14:paraId="5236ED13">
      <w:pPr>
        <w:spacing w:line="500" w:lineRule="exact"/>
        <w:jc w:val="center"/>
        <w:rPr>
          <w:rFonts w:ascii="方正小标宋_GBK" w:hAnsi="方正小标宋_GBK" w:eastAsia="方正小标宋_GBK" w:cs="方正小标宋_GBK"/>
          <w:b/>
          <w:bCs/>
          <w:sz w:val="32"/>
          <w:szCs w:val="32"/>
          <w:highlight w:val="none"/>
        </w:rPr>
      </w:pPr>
    </w:p>
    <w:p w14:paraId="3F7D1DD5">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授权委托书</w:t>
      </w:r>
    </w:p>
    <w:p w14:paraId="76BC6E5E">
      <w:pPr>
        <w:spacing w:line="500" w:lineRule="exact"/>
        <w:jc w:val="center"/>
        <w:rPr>
          <w:rFonts w:ascii="等线 Light" w:hAnsi="等线 Light" w:eastAsia="等线 Light"/>
          <w:b/>
          <w:bCs/>
          <w:sz w:val="32"/>
          <w:szCs w:val="32"/>
          <w:highlight w:val="none"/>
        </w:rPr>
      </w:pPr>
    </w:p>
    <w:p w14:paraId="416BF8A8">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本人</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（参选人名称）的法定代表人（或单位负责人），现委托</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（姓名）为我方代理人。代理人根据授权，以我方名义签署、澄清、说明、补正、递交、撤回、修改</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（项目名称）参选文件、签订合同和处理有关事宜，其法律后果由我方承担。</w:t>
      </w:r>
    </w:p>
    <w:p w14:paraId="57302508">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委托期限：                   。</w:t>
      </w:r>
    </w:p>
    <w:p w14:paraId="3E64801B">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代理人无转委托权。</w:t>
      </w:r>
    </w:p>
    <w:p w14:paraId="54C4DFD3">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（全称、盖章）</w:t>
      </w:r>
    </w:p>
    <w:p w14:paraId="3E2EC977">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参选人法定代表人（或单位负责人）：　　　   　　　　 （盖章、签字）</w:t>
      </w:r>
    </w:p>
    <w:p w14:paraId="6D138A93">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61F3F5C8">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委托代理人：                                          （签字）</w:t>
      </w:r>
    </w:p>
    <w:p w14:paraId="7A08D2AC">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0F96A198">
      <w:pPr>
        <w:spacing w:line="560" w:lineRule="exact"/>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szCs w:val="21"/>
          <w:highlight w:val="none"/>
        </w:rPr>
        <w:t xml:space="preserve">                                                                 年    月    日</w:t>
      </w:r>
    </w:p>
    <w:p w14:paraId="040C03B4">
      <w:pPr>
        <w:spacing w:line="360" w:lineRule="auto"/>
        <w:jc w:val="center"/>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1312" behindDoc="0" locked="0" layoutInCell="1" allowOverlap="1">
                <wp:simplePos x="0" y="0"/>
                <wp:positionH relativeFrom="column">
                  <wp:posOffset>3312160</wp:posOffset>
                </wp:positionH>
                <wp:positionV relativeFrom="paragraph">
                  <wp:posOffset>291465</wp:posOffset>
                </wp:positionV>
                <wp:extent cx="2171700" cy="1410335"/>
                <wp:effectExtent l="4445" t="4445" r="14605" b="1397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171700" cy="1410335"/>
                        </a:xfrm>
                        <a:prstGeom prst="rect">
                          <a:avLst/>
                        </a:prstGeom>
                        <a:solidFill>
                          <a:srgbClr val="FFFFFF"/>
                        </a:solidFill>
                        <a:ln w="9525">
                          <a:solidFill>
                            <a:srgbClr val="000000"/>
                          </a:solidFill>
                          <a:prstDash val="sysDot"/>
                          <a:miter lim="800000"/>
                        </a:ln>
                        <a:effectLst/>
                      </wps:spPr>
                      <wps:txbx>
                        <w:txbxContent>
                          <w:p w14:paraId="65311761">
                            <w:r>
                              <w:rPr>
                                <w:rFonts w:hint="eastAsia"/>
                              </w:rPr>
                              <w:t>委托代理人身份证复印件（双面）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8pt;margin-top:22.95pt;height:111.05pt;width:171pt;z-index:251661312;mso-width-relative:page;mso-height-relative:page;" fillcolor="#FFFFFF" filled="t" stroked="t" coordsize="21600,21600" o:gfxdata="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5T08NUAAAAKAQAADwAAAAAAAAAB&#10;ACAAAAAiAAAAZHJzL2Rvd25yZXYueG1sUEsBAhQAFAAAAAgAh07iQNLlH2JMAgAApQQAAA4AAAAA&#10;AAAAAQAgAAAAJAEAAGRycy9lMm9Eb2MueG1sUEsFBgAAAAAGAAYAWQEAAOIFAAAAAA==&#10;">
                <v:fill on="t" focussize="0,0"/>
                <v:stroke color="#000000" miterlimit="8" joinstyle="miter" dashstyle="1 1"/>
                <v:imagedata o:title=""/>
                <o:lock v:ext="edit" aspectratio="f"/>
                <v:textbox>
                  <w:txbxContent>
                    <w:p w14:paraId="65311761">
                      <w:r>
                        <w:rPr>
                          <w:rFonts w:hint="eastAsia"/>
                        </w:rPr>
                        <w:t>委托代理人身份证复印件（双面）</w:t>
                      </w:r>
                    </w:p>
                  </w:txbxContent>
                </v:textbox>
              </v:rect>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291465</wp:posOffset>
                </wp:positionV>
                <wp:extent cx="2102485" cy="1410335"/>
                <wp:effectExtent l="4445" t="4445" r="7620" b="1397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102485" cy="1410335"/>
                        </a:xfrm>
                        <a:prstGeom prst="rect">
                          <a:avLst/>
                        </a:prstGeom>
                        <a:solidFill>
                          <a:srgbClr val="FFFFFF"/>
                        </a:solidFill>
                        <a:ln w="9525">
                          <a:solidFill>
                            <a:srgbClr val="000000"/>
                          </a:solidFill>
                          <a:prstDash val="sysDot"/>
                          <a:miter lim="800000"/>
                        </a:ln>
                        <a:effectLst/>
                      </wps:spPr>
                      <wps:txbx>
                        <w:txbxContent>
                          <w:p w14:paraId="19DBD5FB">
                            <w:r>
                              <w:rPr>
                                <w:rFonts w:hint="eastAsia"/>
                              </w:rPr>
                              <w:t>法定代表人身份证复印件（双面）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22.95pt;height:111.05pt;width:165.55pt;z-index:251660288;mso-width-relative:page;mso-height-relative:page;" fillcolor="#FFFFFF" filled="t" stroked="t" coordsize="21600,21600" o:gfxdata="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4iJw1gAAAAoBAAAPAAAAAAAA&#10;AAEAIAAAACIAAABkcnMvZG93bnJldi54bWxQSwECFAAUAAAACACHTuJAcXLBTE0CAAClBAAADgAA&#10;AAAAAAABACAAAAAlAQAAZHJzL2Uyb0RvYy54bWxQSwUGAAAAAAYABgBZAQAA5AUAAAAA&#10;">
                <v:fill on="t" focussize="0,0"/>
                <v:stroke color="#000000" miterlimit="8" joinstyle="miter" dashstyle="1 1"/>
                <v:imagedata o:title=""/>
                <o:lock v:ext="edit" aspectratio="f"/>
                <v:textbox>
                  <w:txbxContent>
                    <w:p w14:paraId="19DBD5FB">
                      <w:r>
                        <w:rPr>
                          <w:rFonts w:hint="eastAsia"/>
                        </w:rPr>
                        <w:t>法定代表人身份证复印件（双面）</w:t>
                      </w:r>
                    </w:p>
                  </w:txbxContent>
                </v:textbox>
              </v:rect>
            </w:pict>
          </mc:Fallback>
        </mc:AlternateContent>
      </w:r>
    </w:p>
    <w:p w14:paraId="10A01E4F">
      <w:pPr>
        <w:spacing w:line="360" w:lineRule="auto"/>
        <w:jc w:val="center"/>
        <w:rPr>
          <w:rFonts w:ascii="方正仿宋_GBK" w:hAnsi="方正仿宋_GBK" w:eastAsia="方正仿宋_GBK" w:cs="方正仿宋_GBK"/>
          <w:spacing w:val="20"/>
          <w:sz w:val="24"/>
          <w:highlight w:val="none"/>
        </w:rPr>
      </w:pPr>
    </w:p>
    <w:p w14:paraId="6E1FA1A6">
      <w:pPr>
        <w:pStyle w:val="5"/>
        <w:spacing w:line="560" w:lineRule="exact"/>
        <w:rPr>
          <w:rFonts w:ascii="方正仿宋_GBK" w:hAnsi="方正仿宋_GBK" w:eastAsia="方正仿宋_GBK" w:cs="方正仿宋_GBK"/>
          <w:szCs w:val="22"/>
          <w:highlight w:val="none"/>
        </w:rPr>
      </w:pPr>
    </w:p>
    <w:p w14:paraId="092C3A26">
      <w:pPr>
        <w:rPr>
          <w:rFonts w:ascii="方正仿宋_GBK" w:hAnsi="方正仿宋_GBK" w:eastAsia="方正仿宋_GBK" w:cs="方正仿宋_GBK"/>
          <w:highlight w:val="none"/>
        </w:rPr>
      </w:pPr>
    </w:p>
    <w:p w14:paraId="18C88F70">
      <w:pPr>
        <w:spacing w:line="360" w:lineRule="auto"/>
        <w:jc w:val="left"/>
        <w:rPr>
          <w:rFonts w:ascii="方正仿宋_GBK" w:hAnsi="方正仿宋_GBK" w:eastAsia="方正仿宋_GBK" w:cs="方正仿宋_GBK"/>
          <w:szCs w:val="21"/>
          <w:highlight w:val="none"/>
        </w:rPr>
      </w:pPr>
    </w:p>
    <w:p w14:paraId="56800E20">
      <w:pPr>
        <w:spacing w:line="360" w:lineRule="auto"/>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备注：</w:t>
      </w:r>
    </w:p>
    <w:p w14:paraId="26EE6F0E">
      <w:pPr>
        <w:numPr>
          <w:ilvl w:val="0"/>
          <w:numId w:val="2"/>
        </w:numPr>
        <w:spacing w:line="320" w:lineRule="exact"/>
        <w:ind w:firstLine="420" w:firstLineChars="200"/>
        <w:jc w:val="left"/>
        <w:rPr>
          <w:highlight w:val="none"/>
        </w:rPr>
      </w:pPr>
      <w:r>
        <w:rPr>
          <w:rFonts w:hint="eastAsia" w:ascii="方正仿宋_GBK" w:hAnsi="方正仿宋_GBK" w:eastAsia="方正仿宋_GBK" w:cs="方正仿宋_GBK"/>
          <w:szCs w:val="21"/>
          <w:highlight w:val="none"/>
        </w:rPr>
        <w:t>法定代表人参加比选活动并签署文件的不需要授权委托书，只需提供法定代表人身份证明；非法定代表人参加比选活动及签署文件的除提供法定代表人身份证明外还须提供授权委托书。</w:t>
      </w:r>
    </w:p>
    <w:p w14:paraId="7AA55C74">
      <w:pPr>
        <w:spacing w:line="500" w:lineRule="exact"/>
        <w:jc w:val="center"/>
        <w:rPr>
          <w:rFonts w:ascii="方正小标宋_GBK" w:hAnsi="方正小标宋_GBK" w:eastAsia="方正小标宋_GBK" w:cs="方正小标宋_GBK"/>
          <w:b/>
          <w:bCs/>
          <w:sz w:val="32"/>
          <w:szCs w:val="32"/>
          <w:highlight w:val="none"/>
        </w:rPr>
      </w:pPr>
    </w:p>
    <w:p w14:paraId="66533846">
      <w:pPr>
        <w:pStyle w:val="2"/>
      </w:pPr>
    </w:p>
    <w:p w14:paraId="4833D2B0">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法定代表人（或单位负责人）身份证明</w:t>
      </w:r>
    </w:p>
    <w:p w14:paraId="405E67DF">
      <w:pPr>
        <w:spacing w:line="560" w:lineRule="exact"/>
        <w:ind w:firstLine="420" w:firstLineChars="200"/>
        <w:jc w:val="center"/>
        <w:rPr>
          <w:rFonts w:ascii="等线 Light" w:hAnsi="等线 Light" w:eastAsia="等线 Light"/>
          <w:szCs w:val="28"/>
          <w:highlight w:val="none"/>
        </w:rPr>
      </w:pPr>
    </w:p>
    <w:p w14:paraId="51B2B6F8">
      <w:pPr>
        <w:spacing w:line="560" w:lineRule="exact"/>
        <w:ind w:firstLine="420" w:firstLineChars="200"/>
        <w:rPr>
          <w:rFonts w:ascii="等线 Light" w:hAnsi="等线 Light" w:eastAsia="等线 Light"/>
          <w:szCs w:val="28"/>
          <w:highlight w:val="none"/>
        </w:rPr>
      </w:pPr>
    </w:p>
    <w:p w14:paraId="4EEF71FF">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参选人名称：</w:t>
      </w:r>
      <w:r>
        <w:rPr>
          <w:rFonts w:hint="eastAsia" w:ascii="方正仿宋_GBK" w:hAnsi="方正仿宋_GBK" w:eastAsia="方正仿宋_GBK" w:cs="方正仿宋_GBK"/>
          <w:szCs w:val="21"/>
          <w:highlight w:val="none"/>
          <w:u w:val="single"/>
        </w:rPr>
        <w:t xml:space="preserve">                        </w:t>
      </w:r>
    </w:p>
    <w:p w14:paraId="12694609">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单位性质：</w:t>
      </w:r>
      <w:r>
        <w:rPr>
          <w:rFonts w:hint="eastAsia" w:ascii="方正仿宋_GBK" w:hAnsi="方正仿宋_GBK" w:eastAsia="方正仿宋_GBK" w:cs="方正仿宋_GBK"/>
          <w:szCs w:val="21"/>
          <w:highlight w:val="none"/>
          <w:u w:val="single"/>
        </w:rPr>
        <w:t xml:space="preserve">                            </w:t>
      </w:r>
    </w:p>
    <w:p w14:paraId="11E6AA66">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地址：</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w:t>
      </w:r>
    </w:p>
    <w:p w14:paraId="78ED389E">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成立时间：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月</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日</w:t>
      </w:r>
    </w:p>
    <w:p w14:paraId="6EBC3FB3">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经营期限：</w:t>
      </w:r>
      <w:r>
        <w:rPr>
          <w:rFonts w:hint="eastAsia" w:ascii="方正仿宋_GBK" w:hAnsi="方正仿宋_GBK" w:eastAsia="方正仿宋_GBK" w:cs="方正仿宋_GBK"/>
          <w:szCs w:val="21"/>
          <w:highlight w:val="none"/>
          <w:u w:val="single"/>
        </w:rPr>
        <w:t xml:space="preserve">                            </w:t>
      </w:r>
    </w:p>
    <w:p w14:paraId="4854E3F5">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姓名：</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性别：</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职务：</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（参选单位名称）的法定代表人（或单位负责人）。</w:t>
      </w:r>
    </w:p>
    <w:p w14:paraId="7DF97CC6">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特此证明。</w:t>
      </w:r>
    </w:p>
    <w:p w14:paraId="29C51236">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（单位盖章）</w:t>
      </w:r>
    </w:p>
    <w:p w14:paraId="1589F117">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年    月    日</w:t>
      </w:r>
    </w:p>
    <w:p w14:paraId="77F0860F">
      <w:pPr>
        <w:adjustRightInd w:val="0"/>
        <w:snapToGrid w:val="0"/>
        <w:spacing w:line="560" w:lineRule="exact"/>
        <w:ind w:firstLine="478" w:firstLineChars="228"/>
        <w:rPr>
          <w:rFonts w:ascii="方正仿宋_GBK" w:hAnsi="方正仿宋_GBK" w:eastAsia="方正仿宋_GBK" w:cs="方正仿宋_GBK"/>
          <w:szCs w:val="21"/>
          <w:highlight w:val="none"/>
        </w:rPr>
      </w:pPr>
    </w:p>
    <w:tbl>
      <w:tblPr>
        <w:tblStyle w:val="14"/>
        <w:tblpPr w:leftFromText="180" w:rightFromText="180" w:vertAnchor="text" w:horzAnchor="page" w:tblpXSpec="center" w:tblpY="90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75"/>
      </w:tblGrid>
      <w:tr w14:paraId="15354B6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30" w:hRule="atLeast"/>
        </w:trPr>
        <w:tc>
          <w:tcPr>
            <w:tcW w:w="8575" w:type="dxa"/>
            <w:noWrap w:val="0"/>
            <w:vAlign w:val="center"/>
          </w:tcPr>
          <w:p w14:paraId="05F7651B">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附法定代表人（或单位负责人）二代身份证复印件</w:t>
            </w:r>
          </w:p>
          <w:p w14:paraId="6FB8DF84">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（双面复印粘贴）</w:t>
            </w:r>
          </w:p>
        </w:tc>
      </w:tr>
    </w:tbl>
    <w:p w14:paraId="6CD7ED09">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1E42F1C8">
      <w:pPr>
        <w:tabs>
          <w:tab w:val="left" w:pos="2580"/>
          <w:tab w:val="left" w:pos="5940"/>
        </w:tabs>
        <w:jc w:val="left"/>
        <w:rPr>
          <w:highlight w:val="none"/>
        </w:rPr>
      </w:pPr>
    </w:p>
    <w:p w14:paraId="2E193AC4">
      <w:pPr>
        <w:keepNext/>
        <w:keepLines/>
        <w:spacing w:before="260" w:after="260" w:line="360" w:lineRule="auto"/>
        <w:outlineLvl w:val="1"/>
        <w:rPr>
          <w:rFonts w:ascii="宋体" w:hAnsi="宋体"/>
          <w:sz w:val="44"/>
          <w:szCs w:val="44"/>
          <w:highlight w:val="none"/>
        </w:rPr>
      </w:pPr>
    </w:p>
    <w:p w14:paraId="6324C6FA">
      <w:pPr>
        <w:pStyle w:val="2"/>
        <w:rPr>
          <w:highlight w:val="none"/>
        </w:rPr>
      </w:pPr>
    </w:p>
    <w:p w14:paraId="6E7FD875">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br w:type="page"/>
      </w:r>
      <w:r>
        <w:rPr>
          <w:rFonts w:hint="eastAsia" w:ascii="宋体" w:hAnsi="宋体"/>
          <w:sz w:val="44"/>
          <w:szCs w:val="44"/>
          <w:highlight w:val="none"/>
        </w:rPr>
        <w:t>二、技术部分</w:t>
      </w:r>
    </w:p>
    <w:p w14:paraId="7806C540">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封  面</w:t>
      </w:r>
    </w:p>
    <w:p w14:paraId="1AD31E41">
      <w:pPr>
        <w:jc w:val="center"/>
        <w:rPr>
          <w:rFonts w:ascii="宋体" w:hAnsi="宋体"/>
          <w:i/>
          <w:iCs/>
          <w:kern w:val="0"/>
          <w:szCs w:val="21"/>
          <w:highlight w:val="none"/>
        </w:rPr>
      </w:pPr>
    </w:p>
    <w:p w14:paraId="3D820200">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格式自拟</w:t>
      </w:r>
      <w:r>
        <w:rPr>
          <w:rFonts w:ascii="宋体" w:hAnsi="宋体"/>
          <w:i/>
          <w:iCs/>
          <w:kern w:val="0"/>
          <w:szCs w:val="21"/>
          <w:highlight w:val="none"/>
        </w:rPr>
        <w:t>]</w:t>
      </w:r>
    </w:p>
    <w:p w14:paraId="7E8DBD0F">
      <w:pPr>
        <w:autoSpaceDE w:val="0"/>
        <w:autoSpaceDN w:val="0"/>
        <w:adjustRightInd w:val="0"/>
        <w:snapToGrid w:val="0"/>
        <w:spacing w:line="360" w:lineRule="auto"/>
        <w:jc w:val="center"/>
        <w:outlineLvl w:val="0"/>
        <w:rPr>
          <w:rFonts w:ascii="宋体" w:hAnsi="宋体"/>
          <w:kern w:val="0"/>
          <w:sz w:val="32"/>
          <w:szCs w:val="32"/>
          <w:highlight w:val="none"/>
        </w:rPr>
      </w:pPr>
      <w:r>
        <w:rPr>
          <w:rFonts w:hint="eastAsia" w:ascii="宋体" w:hAnsi="宋体"/>
          <w:kern w:val="0"/>
          <w:sz w:val="36"/>
          <w:szCs w:val="36"/>
          <w:highlight w:val="none"/>
        </w:rPr>
        <w:t>目  录</w:t>
      </w:r>
    </w:p>
    <w:p w14:paraId="24215B83">
      <w:pPr>
        <w:autoSpaceDE w:val="0"/>
        <w:autoSpaceDN w:val="0"/>
        <w:adjustRightInd w:val="0"/>
        <w:snapToGrid w:val="0"/>
        <w:spacing w:line="360" w:lineRule="auto"/>
        <w:jc w:val="left"/>
        <w:rPr>
          <w:rFonts w:ascii="宋体" w:hAnsi="宋体"/>
          <w:kern w:val="0"/>
          <w:sz w:val="32"/>
          <w:szCs w:val="32"/>
          <w:highlight w:val="none"/>
        </w:rPr>
      </w:pPr>
    </w:p>
    <w:p w14:paraId="2664547F">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[目录由参选人自行编制]</w:t>
      </w:r>
    </w:p>
    <w:p w14:paraId="29A4E0A6">
      <w:pPr>
        <w:autoSpaceDE w:val="0"/>
        <w:autoSpaceDN w:val="0"/>
        <w:adjustRightInd w:val="0"/>
        <w:snapToGrid w:val="0"/>
        <w:spacing w:line="360" w:lineRule="auto"/>
        <w:jc w:val="center"/>
        <w:rPr>
          <w:rFonts w:ascii="宋体" w:hAnsi="宋体"/>
          <w:kern w:val="0"/>
          <w:sz w:val="36"/>
          <w:szCs w:val="36"/>
          <w:highlight w:val="none"/>
        </w:rPr>
      </w:pPr>
    </w:p>
    <w:p w14:paraId="0B91C8A3">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内容</w:t>
      </w:r>
    </w:p>
    <w:p w14:paraId="4808C19F">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按照第</w:t>
      </w:r>
      <w:r>
        <w:rPr>
          <w:rFonts w:hint="eastAsia" w:ascii="宋体" w:hAnsi="宋体"/>
          <w:i/>
          <w:iCs/>
          <w:kern w:val="0"/>
          <w:szCs w:val="21"/>
          <w:highlight w:val="none"/>
          <w:lang w:val="en-US" w:eastAsia="zh-CN"/>
        </w:rPr>
        <w:t>三</w:t>
      </w:r>
      <w:r>
        <w:rPr>
          <w:rFonts w:hint="eastAsia" w:ascii="宋体" w:hAnsi="宋体"/>
          <w:i/>
          <w:iCs/>
          <w:kern w:val="0"/>
          <w:szCs w:val="21"/>
          <w:highlight w:val="none"/>
        </w:rPr>
        <w:t>章第</w:t>
      </w:r>
      <w:r>
        <w:rPr>
          <w:rFonts w:hint="eastAsia" w:ascii="宋体" w:hAnsi="宋体"/>
          <w:i/>
          <w:iCs/>
          <w:kern w:val="0"/>
          <w:szCs w:val="21"/>
          <w:highlight w:val="none"/>
          <w:lang w:val="en-US" w:eastAsia="zh-CN"/>
        </w:rPr>
        <w:t>2</w:t>
      </w:r>
      <w:r>
        <w:rPr>
          <w:rFonts w:hint="eastAsia" w:ascii="宋体" w:hAnsi="宋体"/>
          <w:i/>
          <w:iCs/>
          <w:kern w:val="0"/>
          <w:szCs w:val="21"/>
          <w:highlight w:val="none"/>
        </w:rPr>
        <w:t>.2.2要求进行编制</w:t>
      </w:r>
      <w:r>
        <w:rPr>
          <w:rFonts w:ascii="宋体" w:hAnsi="宋体"/>
          <w:i/>
          <w:iCs/>
          <w:kern w:val="0"/>
          <w:szCs w:val="21"/>
          <w:highlight w:val="none"/>
        </w:rPr>
        <w:t>]</w:t>
      </w:r>
    </w:p>
    <w:p w14:paraId="7782BBE2">
      <w:pPr>
        <w:pStyle w:val="3"/>
        <w:spacing w:line="360" w:lineRule="auto"/>
        <w:jc w:val="center"/>
        <w:rPr>
          <w:rFonts w:ascii="宋体" w:hAnsi="宋体"/>
          <w:b w:val="0"/>
          <w:kern w:val="2"/>
          <w:sz w:val="21"/>
          <w:szCs w:val="21"/>
          <w:highlight w:val="none"/>
        </w:rPr>
      </w:pPr>
      <w:r>
        <w:rPr>
          <w:rFonts w:hint="eastAsia" w:ascii="宋体" w:hAnsi="宋体"/>
          <w:b w:val="0"/>
          <w:kern w:val="2"/>
          <w:sz w:val="21"/>
          <w:szCs w:val="21"/>
          <w:highlight w:val="none"/>
        </w:rPr>
        <w:t>，</w:t>
      </w:r>
    </w:p>
    <w:p w14:paraId="77B95A59">
      <w:pPr>
        <w:autoSpaceDE w:val="0"/>
        <w:autoSpaceDN w:val="0"/>
        <w:adjustRightInd w:val="0"/>
        <w:snapToGrid w:val="0"/>
        <w:spacing w:line="360" w:lineRule="auto"/>
        <w:jc w:val="center"/>
        <w:rPr>
          <w:rFonts w:ascii="宋体" w:hAnsi="宋体"/>
          <w:kern w:val="0"/>
          <w:sz w:val="36"/>
          <w:szCs w:val="36"/>
          <w:highlight w:val="none"/>
        </w:rPr>
      </w:pPr>
    </w:p>
    <w:p w14:paraId="2155F1A1">
      <w:pPr>
        <w:autoSpaceDE w:val="0"/>
        <w:autoSpaceDN w:val="0"/>
        <w:adjustRightInd w:val="0"/>
        <w:snapToGrid w:val="0"/>
        <w:spacing w:line="360" w:lineRule="auto"/>
        <w:jc w:val="center"/>
        <w:rPr>
          <w:rFonts w:ascii="宋体" w:hAnsi="宋体"/>
          <w:kern w:val="0"/>
          <w:sz w:val="36"/>
          <w:szCs w:val="36"/>
          <w:highlight w:val="none"/>
        </w:rPr>
      </w:pPr>
    </w:p>
    <w:p w14:paraId="3F9A9602">
      <w:pPr>
        <w:autoSpaceDE w:val="0"/>
        <w:autoSpaceDN w:val="0"/>
        <w:adjustRightInd w:val="0"/>
        <w:snapToGrid w:val="0"/>
        <w:spacing w:line="360" w:lineRule="auto"/>
        <w:jc w:val="center"/>
        <w:rPr>
          <w:rFonts w:ascii="宋体" w:hAnsi="宋体"/>
          <w:kern w:val="0"/>
          <w:sz w:val="36"/>
          <w:szCs w:val="36"/>
          <w:highlight w:val="none"/>
        </w:rPr>
      </w:pPr>
    </w:p>
    <w:p w14:paraId="53D8A81F">
      <w:pPr>
        <w:autoSpaceDE w:val="0"/>
        <w:autoSpaceDN w:val="0"/>
        <w:adjustRightInd w:val="0"/>
        <w:snapToGrid w:val="0"/>
        <w:spacing w:line="360" w:lineRule="auto"/>
        <w:jc w:val="center"/>
        <w:rPr>
          <w:rFonts w:ascii="宋体" w:hAnsi="宋体"/>
          <w:kern w:val="0"/>
          <w:sz w:val="36"/>
          <w:szCs w:val="36"/>
          <w:highlight w:val="none"/>
        </w:rPr>
      </w:pPr>
    </w:p>
    <w:p w14:paraId="6F6D8D2D">
      <w:pPr>
        <w:pStyle w:val="2"/>
        <w:rPr>
          <w:highlight w:val="none"/>
        </w:rPr>
      </w:pPr>
    </w:p>
    <w:p w14:paraId="6ACAF83D">
      <w:pPr>
        <w:rPr>
          <w:highlight w:val="none"/>
        </w:rPr>
      </w:pPr>
    </w:p>
    <w:p w14:paraId="5EC20E8D">
      <w:pPr>
        <w:pStyle w:val="2"/>
        <w:rPr>
          <w:highlight w:val="none"/>
        </w:rPr>
      </w:pPr>
    </w:p>
    <w:p w14:paraId="049CBAAB">
      <w:pPr>
        <w:autoSpaceDE w:val="0"/>
        <w:autoSpaceDN w:val="0"/>
        <w:adjustRightInd w:val="0"/>
        <w:snapToGrid w:val="0"/>
        <w:spacing w:line="360" w:lineRule="auto"/>
        <w:rPr>
          <w:rFonts w:ascii="宋体" w:hAnsi="宋体"/>
          <w:kern w:val="0"/>
          <w:sz w:val="36"/>
          <w:szCs w:val="36"/>
          <w:highlight w:val="none"/>
        </w:rPr>
      </w:pPr>
    </w:p>
    <w:p w14:paraId="2378E458">
      <w:pPr>
        <w:tabs>
          <w:tab w:val="left" w:pos="2580"/>
          <w:tab w:val="left" w:pos="5940"/>
        </w:tabs>
        <w:jc w:val="left"/>
        <w:rPr>
          <w:rFonts w:ascii="宋体" w:hAnsi="宋体" w:cs="宋体"/>
          <w:b/>
          <w:bCs/>
          <w:color w:val="000000"/>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3" name="矩形 13"/>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C4E261E">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YYGGTZAAAADQEAAA8AAAAAAAAAAQAgAAAAIgAAAGRycy9k&#10;b3ducmV2LnhtbFBLAQIUABQAAAAIAIdO4kA8qfsMAQIAAOMDAAAOAAAAAAAAAAEAIAAAACgBAABk&#10;cnMvZTJvRG9jLnhtbFBLBQYAAAAABgAGAFkBAACbBQAAAAA=&#10;">
                <v:fill on="f" focussize="0,0"/>
                <v:stroke on="f"/>
                <v:imagedata o:title=""/>
                <o:lock v:ext="edit" aspectratio="f"/>
                <v:textbox inset="0mm,0mm,0mm,0mm" style="mso-fit-shape-to-text:t;">
                  <w:txbxContent>
                    <w:p w14:paraId="6C4E261E">
                      <w:pPr>
                        <w:rPr>
                          <w:sz w:val="20"/>
                        </w:rPr>
                      </w:pPr>
                      <w:r>
                        <w:rPr>
                          <w:rFonts w:hint="eastAsia" w:ascii="宋体" w:cs="宋体"/>
                          <w:bCs/>
                          <w:color w:val="000000"/>
                          <w:sz w:val="22"/>
                        </w:rPr>
                        <w:t>密封线</w:t>
                      </w:r>
                    </w:p>
                  </w:txbxContent>
                </v:textbox>
              </v:rect>
            </w:pict>
          </mc:Fallback>
        </mc:AlternateContent>
      </w:r>
    </w:p>
    <w:p w14:paraId="6D1E37AA">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t>三、资格审查部分</w:t>
      </w:r>
    </w:p>
    <w:p w14:paraId="5A8530D8">
      <w:pPr>
        <w:spacing w:line="360" w:lineRule="auto"/>
        <w:rPr>
          <w:rFonts w:ascii="宋体" w:hAnsi="宋体"/>
          <w:sz w:val="32"/>
          <w:szCs w:val="32"/>
          <w:highlight w:val="none"/>
        </w:rPr>
      </w:pPr>
    </w:p>
    <w:p w14:paraId="5197DE26">
      <w:pPr>
        <w:spacing w:line="360" w:lineRule="auto"/>
        <w:rPr>
          <w:rFonts w:ascii="宋体" w:hAnsi="宋体"/>
          <w:sz w:val="32"/>
          <w:szCs w:val="32"/>
          <w:highlight w:val="none"/>
        </w:rPr>
      </w:pPr>
    </w:p>
    <w:p w14:paraId="5335CFC1">
      <w:pPr>
        <w:spacing w:line="360" w:lineRule="auto"/>
        <w:jc w:val="center"/>
        <w:outlineLvl w:val="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5E4783E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69F689F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1975C2A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F81FF8E">
      <w:pPr>
        <w:tabs>
          <w:tab w:val="left" w:pos="3600"/>
          <w:tab w:val="left" w:pos="4480"/>
          <w:tab w:val="left" w:pos="5360"/>
        </w:tabs>
        <w:autoSpaceDE w:val="0"/>
        <w:autoSpaceDN w:val="0"/>
        <w:adjustRightInd w:val="0"/>
        <w:snapToGrid w:val="0"/>
        <w:spacing w:line="360" w:lineRule="auto"/>
        <w:jc w:val="center"/>
        <w:outlineLvl w:val="0"/>
        <w:rPr>
          <w:rFonts w:ascii="宋体" w:hAnsi="宋体"/>
          <w:kern w:val="0"/>
          <w:sz w:val="72"/>
          <w:szCs w:val="72"/>
          <w:highlight w:val="none"/>
        </w:rPr>
      </w:pPr>
      <w:r>
        <w:rPr>
          <w:rFonts w:hint="eastAsia" w:ascii="宋体" w:hAnsi="宋体"/>
          <w:kern w:val="0"/>
          <w:sz w:val="72"/>
          <w:szCs w:val="72"/>
          <w:highlight w:val="none"/>
        </w:rPr>
        <w:t>参 选 文 件</w:t>
      </w:r>
    </w:p>
    <w:p w14:paraId="17552073">
      <w:pPr>
        <w:autoSpaceDE w:val="0"/>
        <w:autoSpaceDN w:val="0"/>
        <w:adjustRightInd w:val="0"/>
        <w:snapToGrid w:val="0"/>
        <w:spacing w:line="360" w:lineRule="auto"/>
        <w:jc w:val="left"/>
        <w:rPr>
          <w:rFonts w:ascii="宋体" w:hAnsi="宋体"/>
          <w:kern w:val="0"/>
          <w:sz w:val="16"/>
          <w:szCs w:val="16"/>
          <w:highlight w:val="none"/>
        </w:rPr>
      </w:pPr>
    </w:p>
    <w:p w14:paraId="6A6C2D3C">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资格审查部分</w:t>
      </w:r>
    </w:p>
    <w:p w14:paraId="7C636F3F">
      <w:pPr>
        <w:autoSpaceDE w:val="0"/>
        <w:autoSpaceDN w:val="0"/>
        <w:adjustRightInd w:val="0"/>
        <w:snapToGrid w:val="0"/>
        <w:spacing w:line="360" w:lineRule="auto"/>
        <w:jc w:val="left"/>
        <w:rPr>
          <w:rFonts w:ascii="宋体" w:hAnsi="宋体" w:cs="MingLiU"/>
          <w:kern w:val="0"/>
          <w:sz w:val="20"/>
          <w:szCs w:val="20"/>
          <w:highlight w:val="none"/>
        </w:rPr>
      </w:pPr>
    </w:p>
    <w:p w14:paraId="600A3718">
      <w:pPr>
        <w:adjustRightInd w:val="0"/>
        <w:snapToGrid w:val="0"/>
        <w:spacing w:line="264" w:lineRule="auto"/>
        <w:rPr>
          <w:rFonts w:ascii="宋体" w:hAnsi="宋体"/>
          <w:szCs w:val="21"/>
          <w:highlight w:val="none"/>
        </w:rPr>
      </w:pPr>
    </w:p>
    <w:p w14:paraId="43B220FF">
      <w:pPr>
        <w:autoSpaceDE w:val="0"/>
        <w:autoSpaceDN w:val="0"/>
        <w:adjustRightInd w:val="0"/>
        <w:snapToGrid w:val="0"/>
        <w:spacing w:line="360" w:lineRule="auto"/>
        <w:jc w:val="left"/>
        <w:rPr>
          <w:rFonts w:ascii="宋体" w:hAnsi="宋体" w:cs="MingLiU"/>
          <w:kern w:val="0"/>
          <w:sz w:val="20"/>
          <w:szCs w:val="20"/>
          <w:highlight w:val="none"/>
        </w:rPr>
      </w:pPr>
    </w:p>
    <w:p w14:paraId="03E8F87A">
      <w:pPr>
        <w:autoSpaceDE w:val="0"/>
        <w:autoSpaceDN w:val="0"/>
        <w:adjustRightInd w:val="0"/>
        <w:snapToGrid w:val="0"/>
        <w:spacing w:line="360" w:lineRule="auto"/>
        <w:jc w:val="left"/>
        <w:rPr>
          <w:rFonts w:ascii="宋体" w:hAnsi="宋体" w:cs="MingLiU"/>
          <w:kern w:val="0"/>
          <w:sz w:val="20"/>
          <w:szCs w:val="20"/>
          <w:highlight w:val="none"/>
        </w:rPr>
      </w:pPr>
    </w:p>
    <w:p w14:paraId="1CC6BC5F">
      <w:pPr>
        <w:autoSpaceDE w:val="0"/>
        <w:autoSpaceDN w:val="0"/>
        <w:adjustRightInd w:val="0"/>
        <w:snapToGrid w:val="0"/>
        <w:spacing w:line="360" w:lineRule="auto"/>
        <w:jc w:val="left"/>
        <w:rPr>
          <w:rFonts w:ascii="宋体" w:hAnsi="宋体" w:cs="MingLiU"/>
          <w:kern w:val="0"/>
          <w:sz w:val="20"/>
          <w:szCs w:val="20"/>
          <w:highlight w:val="none"/>
        </w:rPr>
      </w:pPr>
    </w:p>
    <w:p w14:paraId="776A7556">
      <w:pPr>
        <w:autoSpaceDE w:val="0"/>
        <w:autoSpaceDN w:val="0"/>
        <w:adjustRightInd w:val="0"/>
        <w:snapToGrid w:val="0"/>
        <w:spacing w:line="360" w:lineRule="auto"/>
        <w:jc w:val="left"/>
        <w:rPr>
          <w:rFonts w:ascii="宋体" w:hAnsi="宋体" w:cs="MingLiU"/>
          <w:kern w:val="0"/>
          <w:sz w:val="20"/>
          <w:szCs w:val="20"/>
          <w:highlight w:val="none"/>
        </w:rPr>
      </w:pPr>
    </w:p>
    <w:p w14:paraId="660F2770">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参选人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（盖单位公章）</w:t>
      </w:r>
    </w:p>
    <w:p w14:paraId="38814179">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68749FAA">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342389EA">
      <w:pPr>
        <w:autoSpaceDE w:val="0"/>
        <w:autoSpaceDN w:val="0"/>
        <w:adjustRightInd w:val="0"/>
        <w:snapToGrid w:val="0"/>
        <w:jc w:val="center"/>
        <w:rPr>
          <w:rFonts w:ascii="宋体" w:hAnsi="宋体"/>
          <w:kern w:val="0"/>
          <w:sz w:val="36"/>
          <w:szCs w:val="36"/>
          <w:highlight w:val="none"/>
        </w:rPr>
      </w:pPr>
    </w:p>
    <w:p w14:paraId="2445959E">
      <w:pPr>
        <w:autoSpaceDE w:val="0"/>
        <w:autoSpaceDN w:val="0"/>
        <w:adjustRightInd w:val="0"/>
        <w:snapToGrid w:val="0"/>
        <w:jc w:val="center"/>
        <w:rPr>
          <w:rFonts w:ascii="宋体" w:hAnsi="宋体"/>
          <w:kern w:val="0"/>
          <w:sz w:val="36"/>
          <w:szCs w:val="36"/>
          <w:highlight w:val="none"/>
        </w:rPr>
      </w:pPr>
    </w:p>
    <w:p w14:paraId="27977B78">
      <w:pPr>
        <w:autoSpaceDE w:val="0"/>
        <w:autoSpaceDN w:val="0"/>
        <w:adjustRightInd w:val="0"/>
        <w:snapToGrid w:val="0"/>
        <w:jc w:val="center"/>
        <w:rPr>
          <w:rFonts w:ascii="宋体" w:hAnsi="宋体"/>
          <w:kern w:val="0"/>
          <w:sz w:val="36"/>
          <w:szCs w:val="36"/>
          <w:highlight w:val="none"/>
        </w:rPr>
      </w:pPr>
    </w:p>
    <w:p w14:paraId="3CCC0DE9">
      <w:pPr>
        <w:autoSpaceDE/>
        <w:autoSpaceDN/>
        <w:adjustRightInd/>
        <w:snapToGrid/>
        <w:jc w:val="left"/>
        <w:outlineLvl w:val="0"/>
        <w:rPr>
          <w:rFonts w:hint="eastAsia" w:ascii="宋体" w:hAnsi="宋体"/>
          <w:kern w:val="0"/>
          <w:sz w:val="36"/>
          <w:szCs w:val="36"/>
          <w:highlight w:val="none"/>
        </w:rPr>
      </w:pPr>
      <w:r>
        <w:rPr>
          <w:rFonts w:hint="eastAsia" w:ascii="宋体" w:hAnsi="宋体"/>
          <w:kern w:val="0"/>
          <w:sz w:val="36"/>
          <w:szCs w:val="36"/>
          <w:highlight w:val="none"/>
        </w:rPr>
        <w:br w:type="page"/>
      </w:r>
    </w:p>
    <w:p w14:paraId="7874BA7F">
      <w:pPr>
        <w:autoSpaceDE w:val="0"/>
        <w:autoSpaceDN w:val="0"/>
        <w:adjustRightInd w:val="0"/>
        <w:snapToGrid w:val="0"/>
        <w:jc w:val="center"/>
        <w:outlineLvl w:val="0"/>
        <w:rPr>
          <w:rFonts w:ascii="宋体" w:hAnsi="宋体"/>
          <w:kern w:val="0"/>
          <w:sz w:val="36"/>
          <w:szCs w:val="36"/>
          <w:highlight w:val="none"/>
        </w:rPr>
      </w:pPr>
      <w:r>
        <w:rPr>
          <w:rFonts w:hint="eastAsia" w:ascii="宋体" w:hAnsi="宋体"/>
          <w:kern w:val="0"/>
          <w:sz w:val="36"/>
          <w:szCs w:val="36"/>
          <w:highlight w:val="none"/>
        </w:rPr>
        <w:t>目  录</w:t>
      </w:r>
    </w:p>
    <w:p w14:paraId="7EAD5C24">
      <w:pPr>
        <w:spacing w:line="360" w:lineRule="auto"/>
        <w:jc w:val="center"/>
        <w:rPr>
          <w:rFonts w:ascii="宋体" w:hAnsi="宋体"/>
          <w:b/>
          <w:kern w:val="0"/>
          <w:sz w:val="32"/>
          <w:szCs w:val="32"/>
          <w:highlight w:val="none"/>
        </w:rPr>
      </w:pPr>
    </w:p>
    <w:p w14:paraId="7E0A60EE">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营业执照</w:t>
      </w:r>
    </w:p>
    <w:p w14:paraId="47D511D4">
      <w:pPr>
        <w:spacing w:line="360" w:lineRule="auto"/>
        <w:ind w:firstLine="420" w:firstLineChars="200"/>
        <w:rPr>
          <w:rFonts w:ascii="宋体" w:hAnsi="宋体"/>
          <w:szCs w:val="21"/>
          <w:highlight w:val="none"/>
        </w:rPr>
      </w:pPr>
      <w:r>
        <w:rPr>
          <w:rFonts w:hint="eastAsia" w:ascii="宋体" w:hAnsi="宋体"/>
          <w:szCs w:val="21"/>
          <w:highlight w:val="none"/>
        </w:rPr>
        <w:t xml:space="preserve">（二）法定代表人身份证明或附有法定代表人身份证明的授权委托书                                                                                                  </w:t>
      </w:r>
    </w:p>
    <w:p w14:paraId="1B3DD12E">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三</w:t>
      </w:r>
      <w:r>
        <w:rPr>
          <w:rFonts w:ascii="宋体" w:hAnsi="宋体"/>
          <w:szCs w:val="21"/>
          <w:highlight w:val="none"/>
        </w:rPr>
        <w:t>）</w:t>
      </w:r>
      <w:r>
        <w:rPr>
          <w:rFonts w:hint="eastAsia" w:ascii="宋体" w:hAnsi="宋体"/>
          <w:szCs w:val="21"/>
          <w:highlight w:val="none"/>
        </w:rPr>
        <w:t>承诺</w:t>
      </w:r>
    </w:p>
    <w:p w14:paraId="76B33A20">
      <w:pPr>
        <w:spacing w:line="360" w:lineRule="auto"/>
        <w:ind w:firstLine="420" w:firstLineChars="200"/>
        <w:rPr>
          <w:rFonts w:hint="default" w:ascii="宋体" w:hAnsi="宋体" w:eastAsia="宋体"/>
          <w:szCs w:val="21"/>
          <w:highlight w:val="none"/>
          <w:lang w:val="en-US" w:eastAsia="zh-CN"/>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w:t>
      </w:r>
      <w:r>
        <w:rPr>
          <w:rFonts w:hint="eastAsia" w:ascii="宋体" w:hAnsi="宋体"/>
          <w:szCs w:val="21"/>
          <w:highlight w:val="none"/>
          <w:lang w:val="en-US" w:eastAsia="zh-CN"/>
        </w:rPr>
        <w:t>联合体协议书</w:t>
      </w:r>
    </w:p>
    <w:p w14:paraId="2D8C9F88">
      <w:pPr>
        <w:spacing w:line="360" w:lineRule="auto"/>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五</w:t>
      </w:r>
      <w:r>
        <w:rPr>
          <w:rFonts w:hint="eastAsia" w:ascii="宋体" w:hAnsi="宋体"/>
          <w:szCs w:val="21"/>
          <w:highlight w:val="none"/>
          <w:lang w:eastAsia="zh-CN"/>
        </w:rPr>
        <w:t>）</w:t>
      </w:r>
      <w:r>
        <w:rPr>
          <w:rFonts w:ascii="宋体" w:hAnsi="宋体"/>
          <w:szCs w:val="21"/>
          <w:highlight w:val="none"/>
        </w:rPr>
        <w:t>其他资料</w:t>
      </w:r>
      <w:r>
        <w:rPr>
          <w:rFonts w:hint="eastAsia" w:ascii="宋体" w:hAnsi="宋体"/>
          <w:szCs w:val="21"/>
          <w:highlight w:val="none"/>
        </w:rPr>
        <w:t>（业绩证明材料等）</w:t>
      </w:r>
    </w:p>
    <w:p w14:paraId="472C3A6D">
      <w:pPr>
        <w:spacing w:line="360" w:lineRule="auto"/>
        <w:jc w:val="center"/>
        <w:rPr>
          <w:rFonts w:ascii="宋体" w:hAnsi="宋体"/>
          <w:b/>
          <w:kern w:val="0"/>
          <w:sz w:val="32"/>
          <w:szCs w:val="32"/>
          <w:highlight w:val="none"/>
        </w:rPr>
      </w:pPr>
    </w:p>
    <w:p w14:paraId="3DDA9123">
      <w:pPr>
        <w:spacing w:line="360" w:lineRule="auto"/>
        <w:jc w:val="center"/>
        <w:rPr>
          <w:rFonts w:ascii="宋体" w:hAnsi="宋体"/>
          <w:b/>
          <w:kern w:val="0"/>
          <w:sz w:val="32"/>
          <w:szCs w:val="32"/>
          <w:highlight w:val="none"/>
        </w:rPr>
      </w:pPr>
    </w:p>
    <w:p w14:paraId="13BF04E4">
      <w:pPr>
        <w:keepNext/>
        <w:keepLines/>
        <w:numPr>
          <w:ilvl w:val="0"/>
          <w:numId w:val="3"/>
        </w:numPr>
        <w:spacing w:before="260" w:after="260" w:line="416" w:lineRule="auto"/>
        <w:jc w:val="center"/>
        <w:outlineLvl w:val="0"/>
        <w:rPr>
          <w:rFonts w:ascii="宋体" w:hAnsi="宋体"/>
          <w:b/>
          <w:bCs/>
          <w:sz w:val="32"/>
          <w:szCs w:val="32"/>
          <w:highlight w:val="none"/>
        </w:rPr>
      </w:pPr>
      <w:r>
        <w:rPr>
          <w:rFonts w:ascii="宋体" w:hAnsi="宋体"/>
          <w:b/>
          <w:bCs/>
          <w:sz w:val="32"/>
          <w:szCs w:val="32"/>
          <w:highlight w:val="none"/>
        </w:rPr>
        <w:br w:type="page"/>
      </w:r>
      <w:r>
        <w:rPr>
          <w:rFonts w:hint="eastAsia" w:ascii="宋体" w:hAnsi="宋体"/>
          <w:b/>
          <w:bCs/>
          <w:sz w:val="32"/>
          <w:szCs w:val="32"/>
          <w:highlight w:val="none"/>
        </w:rPr>
        <w:t>营业执照</w:t>
      </w:r>
    </w:p>
    <w:p w14:paraId="2DA6B042">
      <w:pPr>
        <w:pStyle w:val="2"/>
        <w:jc w:val="center"/>
        <w:rPr>
          <w:rFonts w:ascii="宋体" w:hAnsi="宋体" w:cs="Times New Roman"/>
          <w:b w:val="0"/>
          <w:bCs w:val="0"/>
          <w:sz w:val="28"/>
          <w:szCs w:val="24"/>
          <w:highlight w:val="none"/>
        </w:rPr>
      </w:pPr>
      <w:r>
        <w:rPr>
          <w:rFonts w:hint="eastAsia" w:ascii="宋体" w:hAnsi="宋体" w:cs="Times New Roman"/>
          <w:b w:val="0"/>
          <w:bCs w:val="0"/>
          <w:sz w:val="28"/>
          <w:szCs w:val="24"/>
          <w:highlight w:val="none"/>
        </w:rPr>
        <w:t>参选人提供营业执照复印件加盖公章，原件备查</w:t>
      </w:r>
    </w:p>
    <w:p w14:paraId="06001791">
      <w:pPr>
        <w:rPr>
          <w:rFonts w:ascii="宋体" w:hAnsi="宋体"/>
          <w:sz w:val="28"/>
          <w:highlight w:val="none"/>
        </w:rPr>
      </w:pPr>
    </w:p>
    <w:p w14:paraId="40604BCB">
      <w:pPr>
        <w:pStyle w:val="2"/>
        <w:rPr>
          <w:rFonts w:ascii="宋体" w:hAnsi="宋体" w:cs="Times New Roman"/>
          <w:b w:val="0"/>
          <w:bCs w:val="0"/>
          <w:sz w:val="28"/>
          <w:szCs w:val="24"/>
          <w:highlight w:val="none"/>
        </w:rPr>
      </w:pPr>
    </w:p>
    <w:p w14:paraId="2C910B45">
      <w:pPr>
        <w:rPr>
          <w:rFonts w:ascii="宋体" w:hAnsi="宋体"/>
          <w:sz w:val="28"/>
          <w:highlight w:val="none"/>
        </w:rPr>
      </w:pPr>
    </w:p>
    <w:p w14:paraId="0C377877">
      <w:pPr>
        <w:pStyle w:val="2"/>
        <w:rPr>
          <w:rFonts w:ascii="宋体" w:hAnsi="宋体" w:cs="Times New Roman"/>
          <w:b w:val="0"/>
          <w:bCs w:val="0"/>
          <w:sz w:val="28"/>
          <w:szCs w:val="24"/>
          <w:highlight w:val="none"/>
        </w:rPr>
      </w:pPr>
    </w:p>
    <w:p w14:paraId="7C4BF7D8">
      <w:pPr>
        <w:rPr>
          <w:rFonts w:ascii="宋体" w:hAnsi="宋体"/>
          <w:sz w:val="28"/>
          <w:highlight w:val="none"/>
        </w:rPr>
      </w:pPr>
    </w:p>
    <w:p w14:paraId="56295ED1">
      <w:pPr>
        <w:pStyle w:val="2"/>
        <w:rPr>
          <w:rFonts w:ascii="宋体" w:hAnsi="宋体" w:cs="Times New Roman"/>
          <w:b w:val="0"/>
          <w:bCs w:val="0"/>
          <w:sz w:val="28"/>
          <w:szCs w:val="24"/>
          <w:highlight w:val="none"/>
        </w:rPr>
      </w:pPr>
    </w:p>
    <w:p w14:paraId="302348D5">
      <w:pPr>
        <w:rPr>
          <w:rFonts w:ascii="宋体" w:hAnsi="宋体"/>
          <w:sz w:val="28"/>
          <w:highlight w:val="none"/>
        </w:rPr>
      </w:pPr>
    </w:p>
    <w:p w14:paraId="1E90FEF4">
      <w:pPr>
        <w:pStyle w:val="2"/>
        <w:rPr>
          <w:rFonts w:ascii="宋体" w:hAnsi="宋体" w:cs="Times New Roman"/>
          <w:b w:val="0"/>
          <w:bCs w:val="0"/>
          <w:sz w:val="28"/>
          <w:szCs w:val="24"/>
          <w:highlight w:val="none"/>
        </w:rPr>
      </w:pPr>
    </w:p>
    <w:p w14:paraId="53E3A23C">
      <w:pPr>
        <w:rPr>
          <w:rFonts w:ascii="宋体" w:hAnsi="宋体"/>
          <w:sz w:val="28"/>
          <w:highlight w:val="none"/>
        </w:rPr>
      </w:pPr>
    </w:p>
    <w:p w14:paraId="0D5B2BFB">
      <w:pPr>
        <w:pStyle w:val="2"/>
        <w:rPr>
          <w:rFonts w:ascii="宋体" w:hAnsi="宋体" w:cs="Times New Roman"/>
          <w:b w:val="0"/>
          <w:bCs w:val="0"/>
          <w:sz w:val="28"/>
          <w:szCs w:val="24"/>
          <w:highlight w:val="none"/>
        </w:rPr>
      </w:pPr>
    </w:p>
    <w:p w14:paraId="6F92E40E">
      <w:pPr>
        <w:rPr>
          <w:rFonts w:ascii="宋体" w:hAnsi="宋体"/>
          <w:sz w:val="28"/>
          <w:highlight w:val="none"/>
        </w:rPr>
      </w:pPr>
    </w:p>
    <w:p w14:paraId="50061723">
      <w:pPr>
        <w:pStyle w:val="2"/>
        <w:rPr>
          <w:rFonts w:ascii="宋体" w:hAnsi="宋体" w:cs="Times New Roman"/>
          <w:b w:val="0"/>
          <w:bCs w:val="0"/>
          <w:sz w:val="28"/>
          <w:szCs w:val="24"/>
          <w:highlight w:val="none"/>
        </w:rPr>
      </w:pPr>
    </w:p>
    <w:p w14:paraId="4539826A">
      <w:pPr>
        <w:rPr>
          <w:rFonts w:ascii="宋体" w:hAnsi="宋体"/>
          <w:sz w:val="28"/>
          <w:highlight w:val="none"/>
        </w:rPr>
      </w:pPr>
    </w:p>
    <w:p w14:paraId="6E9274BB">
      <w:pPr>
        <w:pStyle w:val="2"/>
        <w:rPr>
          <w:highlight w:val="none"/>
        </w:rPr>
      </w:pPr>
    </w:p>
    <w:p w14:paraId="2E6A7BDE">
      <w:pPr>
        <w:keepNext/>
        <w:keepLines/>
        <w:spacing w:before="260" w:after="260" w:line="416" w:lineRule="auto"/>
        <w:outlineLvl w:val="0"/>
        <w:rPr>
          <w:rFonts w:ascii="宋体" w:hAnsi="宋体"/>
          <w:b/>
          <w:bCs/>
          <w:snapToGrid w:val="0"/>
          <w:kern w:val="0"/>
          <w:sz w:val="30"/>
          <w:szCs w:val="30"/>
          <w:highlight w:val="none"/>
        </w:rPr>
      </w:pPr>
      <w:r>
        <w:rPr>
          <w:b/>
          <w:bCs/>
          <w:sz w:val="30"/>
          <w:szCs w:val="30"/>
          <w:highlight w:val="none"/>
        </w:rPr>
        <w:t>（</w:t>
      </w:r>
      <w:r>
        <w:rPr>
          <w:rFonts w:hint="eastAsia"/>
          <w:b/>
          <w:bCs/>
          <w:sz w:val="30"/>
          <w:szCs w:val="30"/>
          <w:highlight w:val="none"/>
        </w:rPr>
        <w:t>二</w:t>
      </w:r>
      <w:r>
        <w:rPr>
          <w:b/>
          <w:bCs/>
          <w:sz w:val="30"/>
          <w:szCs w:val="30"/>
          <w:highlight w:val="none"/>
        </w:rPr>
        <w:t>）</w:t>
      </w:r>
      <w:r>
        <w:rPr>
          <w:rFonts w:hint="eastAsia"/>
          <w:b/>
          <w:bCs/>
          <w:sz w:val="30"/>
          <w:szCs w:val="30"/>
          <w:highlight w:val="none"/>
        </w:rPr>
        <w:t>法定代表人身份证明或附有法定代表人身份证明的授权委托书</w:t>
      </w:r>
    </w:p>
    <w:p w14:paraId="3B09888B">
      <w:pPr>
        <w:spacing w:line="480" w:lineRule="auto"/>
        <w:jc w:val="center"/>
        <w:rPr>
          <w:rFonts w:ascii="宋体" w:hAnsi="宋体"/>
          <w:sz w:val="28"/>
          <w:highlight w:val="none"/>
        </w:rPr>
      </w:pPr>
      <w:r>
        <w:rPr>
          <w:rFonts w:hint="eastAsia" w:ascii="宋体" w:hAnsi="宋体"/>
          <w:sz w:val="28"/>
          <w:highlight w:val="none"/>
        </w:rPr>
        <w:t>法定代表人身份证明</w:t>
      </w:r>
    </w:p>
    <w:p w14:paraId="51C3925D">
      <w:pPr>
        <w:spacing w:line="480" w:lineRule="auto"/>
        <w:jc w:val="center"/>
        <w:rPr>
          <w:rFonts w:ascii="宋体" w:hAnsi="宋体"/>
          <w:highlight w:val="none"/>
        </w:rPr>
      </w:pPr>
    </w:p>
    <w:p w14:paraId="2660C523">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参选人名称：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E886F27">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D184411">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1B845F43">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68AF8E2C">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1C8335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7AED409F">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（参选人名称）</w:t>
      </w:r>
      <w:r>
        <w:rPr>
          <w:rFonts w:ascii="宋体" w:hAnsi="宋体"/>
          <w:kern w:val="0"/>
          <w:szCs w:val="21"/>
          <w:highlight w:val="none"/>
        </w:rPr>
        <w:t>的法定代表人。</w:t>
      </w:r>
    </w:p>
    <w:p w14:paraId="54B382A1">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7DBBA981">
      <w:pPr>
        <w:autoSpaceDE w:val="0"/>
        <w:autoSpaceDN w:val="0"/>
        <w:adjustRightInd w:val="0"/>
        <w:snapToGrid w:val="0"/>
        <w:spacing w:line="480" w:lineRule="auto"/>
        <w:ind w:firstLine="810" w:firstLineChars="386"/>
        <w:jc w:val="left"/>
        <w:rPr>
          <w:rFonts w:ascii="宋体" w:hAnsi="宋体"/>
          <w:szCs w:val="21"/>
          <w:highlight w:val="none"/>
        </w:rPr>
      </w:pPr>
      <w:r>
        <w:rPr>
          <w:rFonts w:hint="eastAsia" w:ascii="宋体" w:hAnsi="宋体"/>
          <w:kern w:val="0"/>
          <w:szCs w:val="21"/>
          <w:highlight w:val="none"/>
        </w:rPr>
        <w:t>附：法定代表人身份证明复印件（双面）</w:t>
      </w:r>
    </w:p>
    <w:p w14:paraId="54A12869">
      <w:pPr>
        <w:spacing w:line="360" w:lineRule="auto"/>
        <w:rPr>
          <w:rFonts w:ascii="宋体" w:hAnsi="宋体"/>
          <w:szCs w:val="21"/>
          <w:highlight w:val="none"/>
        </w:rPr>
      </w:pPr>
    </w:p>
    <w:p w14:paraId="64067E1B">
      <w:pPr>
        <w:spacing w:line="360" w:lineRule="auto"/>
        <w:rPr>
          <w:rFonts w:ascii="宋体" w:hAnsi="宋体"/>
          <w:szCs w:val="21"/>
          <w:highlight w:val="none"/>
        </w:rPr>
      </w:pPr>
    </w:p>
    <w:p w14:paraId="5D352D03">
      <w:pPr>
        <w:spacing w:line="360" w:lineRule="auto"/>
        <w:rPr>
          <w:rFonts w:ascii="宋体" w:hAnsi="宋体"/>
          <w:szCs w:val="21"/>
          <w:highlight w:val="none"/>
        </w:rPr>
      </w:pPr>
    </w:p>
    <w:p w14:paraId="1C6D4932">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参选人：</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盖单位公章）</w:t>
      </w:r>
    </w:p>
    <w:p w14:paraId="1C1668DF">
      <w:pPr>
        <w:autoSpaceDE w:val="0"/>
        <w:autoSpaceDN w:val="0"/>
        <w:adjustRightInd w:val="0"/>
        <w:snapToGrid w:val="0"/>
        <w:spacing w:line="480" w:lineRule="auto"/>
        <w:jc w:val="left"/>
        <w:rPr>
          <w:rFonts w:ascii="宋体" w:hAnsi="宋体"/>
          <w:kern w:val="0"/>
          <w:sz w:val="20"/>
          <w:szCs w:val="20"/>
          <w:highlight w:val="none"/>
        </w:rPr>
      </w:pPr>
    </w:p>
    <w:p w14:paraId="2705A6D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22558EDC">
      <w:pPr>
        <w:autoSpaceDE w:val="0"/>
        <w:autoSpaceDN w:val="0"/>
        <w:adjustRightInd w:val="0"/>
        <w:snapToGrid w:val="0"/>
        <w:spacing w:line="360" w:lineRule="auto"/>
        <w:jc w:val="left"/>
        <w:rPr>
          <w:rFonts w:ascii="宋体" w:hAnsi="宋体"/>
          <w:kern w:val="0"/>
          <w:highlight w:val="none"/>
        </w:rPr>
      </w:pPr>
    </w:p>
    <w:p w14:paraId="72AF7CC8">
      <w:pPr>
        <w:autoSpaceDE w:val="0"/>
        <w:autoSpaceDN w:val="0"/>
        <w:adjustRightInd w:val="0"/>
        <w:snapToGrid w:val="0"/>
        <w:spacing w:line="360" w:lineRule="auto"/>
        <w:jc w:val="left"/>
        <w:rPr>
          <w:rFonts w:ascii="宋体" w:hAnsi="宋体"/>
          <w:kern w:val="0"/>
          <w:highlight w:val="none"/>
        </w:rPr>
      </w:pPr>
    </w:p>
    <w:p w14:paraId="2026288F">
      <w:pPr>
        <w:tabs>
          <w:tab w:val="left" w:pos="1680"/>
          <w:tab w:val="left" w:pos="4215"/>
          <w:tab w:val="left" w:pos="4305"/>
          <w:tab w:val="left" w:pos="8000"/>
        </w:tabs>
        <w:autoSpaceDE w:val="0"/>
        <w:autoSpaceDN w:val="0"/>
        <w:adjustRightInd w:val="0"/>
        <w:snapToGrid w:val="0"/>
        <w:spacing w:line="360" w:lineRule="auto"/>
        <w:ind w:firstLine="411" w:firstLineChars="196"/>
        <w:jc w:val="center"/>
        <w:rPr>
          <w:rFonts w:ascii="宋体" w:hAnsi="宋体"/>
          <w:kern w:val="0"/>
          <w:sz w:val="20"/>
          <w:szCs w:val="20"/>
          <w:highlight w:val="none"/>
        </w:rPr>
      </w:pPr>
      <w:r>
        <w:rPr>
          <w:highlight w:val="none"/>
        </w:rPr>
        <w:t>注：法定代表人身份证明需按上述格式填写完整，不可缺少内容。在此基础上增加内容的不影响其有效性</w:t>
      </w:r>
      <w:r>
        <w:rPr>
          <w:rFonts w:hint="eastAsia" w:ascii="宋体" w:hAnsi="宋体"/>
          <w:kern w:val="0"/>
          <w:szCs w:val="21"/>
          <w:highlight w:val="none"/>
        </w:rPr>
        <w:t>。</w:t>
      </w: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79358C97">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参选人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参选文件、签订合同和处理有关事宜， 其法律后果由我方承担。</w:t>
      </w:r>
    </w:p>
    <w:p w14:paraId="29806DF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4FF59CC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3AA9715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0B88801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2CE455FF">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57ED169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51B503D">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（签</w:t>
      </w:r>
      <w:r>
        <w:rPr>
          <w:rFonts w:ascii="宋体" w:hAnsi="宋体"/>
          <w:spacing w:val="-1"/>
          <w:kern w:val="0"/>
          <w:szCs w:val="21"/>
          <w:highlight w:val="none"/>
        </w:rPr>
        <w:t>字</w:t>
      </w:r>
      <w:r>
        <w:rPr>
          <w:rFonts w:ascii="宋体" w:hAnsi="宋体"/>
          <w:kern w:val="0"/>
          <w:szCs w:val="21"/>
          <w:highlight w:val="none"/>
        </w:rPr>
        <w:t>）</w:t>
      </w:r>
    </w:p>
    <w:p w14:paraId="4D55EEAD">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4832A532">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5F79606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42789A86">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附：法定代表人和委托代理人身份证明复印件（双面）</w:t>
      </w:r>
    </w:p>
    <w:p w14:paraId="277174C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235062CF">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6481903A">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注：1、法定代表人参加参选活动并签署文件的不需要授权委托书，只需提供法定代表人身份证明；非法定代表人参加参选活动及签署文件的除提供法定代表人身份证明外还须提供授权委托书。</w:t>
      </w:r>
    </w:p>
    <w:p w14:paraId="1E7130A5">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2、法定代表人身份证明及授权委托书原件装入参选文件一并递交。另外须准备一份授权委托书原件在开标现场出具。</w:t>
      </w:r>
    </w:p>
    <w:p w14:paraId="1C4C7660">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2485ED77">
      <w:pPr>
        <w:keepNext/>
        <w:keepLines/>
        <w:spacing w:after="260" w:line="360" w:lineRule="auto"/>
        <w:jc w:val="center"/>
        <w:outlineLvl w:val="0"/>
        <w:rPr>
          <w:rFonts w:ascii="宋体" w:hAnsi="宋体"/>
          <w:bCs/>
          <w:sz w:val="32"/>
          <w:szCs w:val="32"/>
          <w:highlight w:val="none"/>
        </w:rPr>
      </w:pPr>
      <w:r>
        <w:rPr>
          <w:rFonts w:hint="eastAsia" w:ascii="宋体" w:hAnsi="宋体"/>
          <w:b/>
          <w:bCs/>
          <w:sz w:val="32"/>
          <w:szCs w:val="32"/>
          <w:highlight w:val="none"/>
        </w:rPr>
        <w:t>（三）承诺</w:t>
      </w:r>
    </w:p>
    <w:p w14:paraId="06853CBC">
      <w:pPr>
        <w:snapToGrid w:val="0"/>
        <w:spacing w:line="400" w:lineRule="exact"/>
        <w:rPr>
          <w:rFonts w:ascii="宋体" w:hAnsi="宋体"/>
          <w:szCs w:val="21"/>
          <w:highlight w:val="none"/>
          <w:u w:val="single"/>
        </w:rPr>
      </w:pPr>
      <w:r>
        <w:rPr>
          <w:rFonts w:hint="eastAsia" w:ascii="宋体" w:hAnsi="宋体"/>
          <w:szCs w:val="21"/>
          <w:highlight w:val="none"/>
          <w:u w:val="single"/>
        </w:rPr>
        <w:t xml:space="preserve">        （比选人名称）</w:t>
      </w:r>
      <w:r>
        <w:rPr>
          <w:rFonts w:hint="eastAsia" w:ascii="宋体" w:hAnsi="宋体"/>
          <w:szCs w:val="21"/>
          <w:highlight w:val="none"/>
        </w:rPr>
        <w:t>：</w:t>
      </w:r>
    </w:p>
    <w:p w14:paraId="747F94BF">
      <w:pPr>
        <w:snapToGrid w:val="0"/>
        <w:spacing w:line="40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（参选人名称）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的参选，自愿作出以下承诺：</w:t>
      </w:r>
    </w:p>
    <w:p w14:paraId="7CA2BEC3">
      <w:pPr>
        <w:snapToGrid w:val="0"/>
        <w:spacing w:line="400" w:lineRule="exact"/>
        <w:ind w:firstLine="420" w:firstLineChars="200"/>
        <w:rPr>
          <w:rFonts w:ascii="宋体" w:hAnsi="宋体"/>
          <w:szCs w:val="21"/>
          <w:highlight w:val="none"/>
        </w:rPr>
      </w:pPr>
    </w:p>
    <w:p w14:paraId="6CA52608">
      <w:p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1.公司承</w:t>
      </w:r>
      <w:r>
        <w:rPr>
          <w:rFonts w:hint="eastAsia" w:ascii="宋体" w:hAnsi="宋体"/>
          <w:snapToGrid w:val="0"/>
          <w:kern w:val="0"/>
          <w:szCs w:val="21"/>
          <w:highlight w:val="none"/>
          <w:lang w:val="zh-CN"/>
        </w:rPr>
        <w:t>具有独立承担民事责任的能力、具有良好的商业信誉和健全的财务会计制度、具有履行合同所必需的设备和专业技术能力、参加</w:t>
      </w:r>
      <w:r>
        <w:rPr>
          <w:rFonts w:hint="eastAsia" w:ascii="宋体" w:hAnsi="宋体"/>
          <w:snapToGrid w:val="0"/>
          <w:kern w:val="0"/>
          <w:szCs w:val="21"/>
          <w:highlight w:val="none"/>
        </w:rPr>
        <w:t>比选</w:t>
      </w:r>
      <w:r>
        <w:rPr>
          <w:rFonts w:hint="eastAsia" w:ascii="宋体" w:hAnsi="宋体"/>
          <w:snapToGrid w:val="0"/>
          <w:kern w:val="0"/>
          <w:szCs w:val="21"/>
          <w:highlight w:val="none"/>
          <w:lang w:val="zh-CN"/>
        </w:rPr>
        <w:t>活动前三年内，在经营活动中没有重大违法记录、</w:t>
      </w:r>
      <w:r>
        <w:rPr>
          <w:rFonts w:hint="eastAsia" w:ascii="宋体" w:hAnsi="宋体"/>
          <w:snapToGrid w:val="0"/>
          <w:kern w:val="0"/>
          <w:szCs w:val="21"/>
          <w:highlight w:val="none"/>
        </w:rPr>
        <w:t>公司满足</w:t>
      </w:r>
      <w:r>
        <w:rPr>
          <w:rFonts w:hint="eastAsia" w:ascii="宋体" w:hAnsi="宋体"/>
          <w:snapToGrid w:val="0"/>
          <w:kern w:val="0"/>
          <w:szCs w:val="21"/>
          <w:highlight w:val="none"/>
          <w:lang w:val="zh-CN"/>
        </w:rPr>
        <w:t>法律、行政法规规定的其他条件</w:t>
      </w:r>
      <w:r>
        <w:rPr>
          <w:rFonts w:hint="eastAsia" w:ascii="宋体" w:hAnsi="宋体"/>
          <w:snapToGrid w:val="0"/>
          <w:kern w:val="0"/>
          <w:szCs w:val="21"/>
          <w:highlight w:val="none"/>
        </w:rPr>
        <w:t>。</w:t>
      </w:r>
    </w:p>
    <w:p w14:paraId="0CAF765E">
      <w:pPr>
        <w:snapToGrid w:val="0"/>
        <w:spacing w:line="400" w:lineRule="exact"/>
        <w:ind w:firstLine="420" w:firstLineChars="200"/>
        <w:rPr>
          <w:rFonts w:ascii="宋体" w:hAnsi="宋体"/>
          <w:szCs w:val="21"/>
          <w:highlight w:val="none"/>
        </w:rPr>
      </w:pPr>
      <w:r>
        <w:rPr>
          <w:rFonts w:hint="eastAsia" w:ascii="宋体" w:hAnsi="宋体"/>
          <w:szCs w:val="21"/>
          <w:highlight w:val="none"/>
        </w:rPr>
        <w:t>2.比选人就比选文件要求的工期、质量、合同主要条款、参选有效期等所有要求公司进行完全响应。</w:t>
      </w:r>
    </w:p>
    <w:p w14:paraId="15F91D16">
      <w:pPr>
        <w:snapToGrid w:val="0"/>
        <w:spacing w:line="400" w:lineRule="exact"/>
        <w:ind w:firstLine="420" w:firstLineChars="200"/>
        <w:rPr>
          <w:rFonts w:ascii="宋体" w:hAnsi="宋体"/>
          <w:szCs w:val="21"/>
          <w:highlight w:val="none"/>
        </w:rPr>
      </w:pPr>
      <w:r>
        <w:rPr>
          <w:rFonts w:hint="eastAsia" w:ascii="宋体" w:hAnsi="宋体"/>
          <w:szCs w:val="21"/>
          <w:highlight w:val="none"/>
        </w:rPr>
        <w:t>3.不向比选人提出就本次比选所有事项签订合同或协议文件的任何要求。</w:t>
      </w:r>
    </w:p>
    <w:p w14:paraId="1D0E426D">
      <w:pPr>
        <w:snapToGrid w:val="0"/>
        <w:spacing w:line="400" w:lineRule="exact"/>
        <w:ind w:firstLine="420" w:firstLineChars="200"/>
        <w:rPr>
          <w:rFonts w:ascii="宋体" w:hAnsi="宋体"/>
          <w:szCs w:val="21"/>
          <w:highlight w:val="none"/>
        </w:rPr>
      </w:pPr>
      <w:r>
        <w:rPr>
          <w:rFonts w:hint="eastAsia" w:ascii="宋体" w:hAnsi="宋体"/>
          <w:szCs w:val="21"/>
          <w:highlight w:val="none"/>
        </w:rPr>
        <w:t>4.不向比选人就本次比选提出任何形式的费用补偿要求。</w:t>
      </w:r>
    </w:p>
    <w:p w14:paraId="3F740243">
      <w:pPr>
        <w:snapToGrid w:val="0"/>
        <w:spacing w:line="400" w:lineRule="exact"/>
        <w:ind w:firstLine="420" w:firstLineChars="200"/>
        <w:rPr>
          <w:rFonts w:ascii="宋体" w:hAnsi="宋体"/>
          <w:szCs w:val="21"/>
          <w:highlight w:val="none"/>
        </w:rPr>
      </w:pPr>
      <w:r>
        <w:rPr>
          <w:rFonts w:hint="eastAsia" w:ascii="宋体" w:hAnsi="宋体"/>
          <w:szCs w:val="21"/>
          <w:highlight w:val="none"/>
        </w:rPr>
        <w:t>5.公司同意比选人及其指定的单位享有我公司所提交服务方案成果的知识产权，同意比选人及其指定的单位对我公司本次所提交的文件拥有使用权和处置权。</w:t>
      </w:r>
    </w:p>
    <w:p w14:paraId="074FA522">
      <w:pPr>
        <w:snapToGrid w:val="0"/>
        <w:spacing w:line="400" w:lineRule="exact"/>
        <w:ind w:firstLine="420" w:firstLineChars="200"/>
        <w:rPr>
          <w:rFonts w:ascii="宋体" w:hAnsi="宋体"/>
          <w:szCs w:val="21"/>
          <w:highlight w:val="none"/>
        </w:rPr>
      </w:pPr>
      <w:r>
        <w:rPr>
          <w:rFonts w:hint="eastAsia" w:ascii="宋体" w:hAnsi="宋体"/>
          <w:szCs w:val="21"/>
          <w:highlight w:val="none"/>
        </w:rPr>
        <w:t>6.公司同意</w:t>
      </w:r>
      <w:r>
        <w:rPr>
          <w:rFonts w:ascii="宋体" w:hAnsi="宋体"/>
          <w:szCs w:val="21"/>
          <w:highlight w:val="none"/>
        </w:rPr>
        <w:t>本次</w:t>
      </w:r>
      <w:r>
        <w:rPr>
          <w:rFonts w:hint="eastAsia" w:ascii="宋体" w:hAnsi="宋体"/>
          <w:szCs w:val="21"/>
          <w:highlight w:val="none"/>
        </w:rPr>
        <w:t>比选提交的服务方案</w:t>
      </w:r>
      <w:r>
        <w:rPr>
          <w:rFonts w:ascii="宋体" w:hAnsi="宋体"/>
          <w:szCs w:val="21"/>
          <w:highlight w:val="none"/>
        </w:rPr>
        <w:t>版权归</w:t>
      </w:r>
      <w:r>
        <w:rPr>
          <w:rFonts w:hint="eastAsia" w:ascii="宋体" w:hAnsi="宋体"/>
          <w:szCs w:val="21"/>
          <w:highlight w:val="none"/>
        </w:rPr>
        <w:t>比选人及其指定的单位</w:t>
      </w:r>
      <w:r>
        <w:rPr>
          <w:rFonts w:ascii="宋体" w:hAnsi="宋体"/>
          <w:szCs w:val="21"/>
          <w:highlight w:val="none"/>
        </w:rPr>
        <w:t>所有，</w:t>
      </w:r>
      <w:r>
        <w:rPr>
          <w:rFonts w:hint="eastAsia" w:ascii="宋体" w:hAnsi="宋体"/>
          <w:szCs w:val="21"/>
          <w:highlight w:val="none"/>
        </w:rPr>
        <w:t>比选人及其指定的单位</w:t>
      </w:r>
      <w:r>
        <w:rPr>
          <w:rFonts w:ascii="宋体" w:hAnsi="宋体"/>
          <w:szCs w:val="21"/>
          <w:highlight w:val="none"/>
        </w:rPr>
        <w:t>可进行展览、印刷、出版、使用等。</w:t>
      </w:r>
    </w:p>
    <w:p w14:paraId="61C7D9BF">
      <w:pPr>
        <w:snapToGrid w:val="0"/>
        <w:spacing w:line="400" w:lineRule="exact"/>
        <w:ind w:firstLine="420" w:firstLineChars="200"/>
        <w:rPr>
          <w:rFonts w:ascii="宋体" w:hAnsi="宋体"/>
          <w:szCs w:val="21"/>
          <w:highlight w:val="none"/>
        </w:rPr>
      </w:pPr>
      <w:r>
        <w:rPr>
          <w:rFonts w:hint="eastAsia" w:ascii="宋体" w:hAnsi="宋体"/>
          <w:szCs w:val="21"/>
          <w:highlight w:val="none"/>
        </w:rPr>
        <w:t>7.我公司</w:t>
      </w:r>
      <w:r>
        <w:rPr>
          <w:rFonts w:ascii="宋体" w:hAnsi="宋体"/>
          <w:szCs w:val="21"/>
          <w:highlight w:val="none"/>
        </w:rPr>
        <w:t>在</w:t>
      </w:r>
      <w:r>
        <w:rPr>
          <w:rFonts w:hint="eastAsia" w:ascii="宋体" w:hAnsi="宋体"/>
          <w:szCs w:val="21"/>
          <w:highlight w:val="none"/>
        </w:rPr>
        <w:t>参选文件编制</w:t>
      </w:r>
      <w:r>
        <w:rPr>
          <w:rFonts w:ascii="宋体" w:hAnsi="宋体"/>
          <w:szCs w:val="21"/>
          <w:highlight w:val="none"/>
        </w:rPr>
        <w:t>过程中使用的</w:t>
      </w:r>
      <w:r>
        <w:rPr>
          <w:rFonts w:hint="eastAsia" w:ascii="宋体" w:hAnsi="宋体"/>
          <w:szCs w:val="21"/>
          <w:highlight w:val="none"/>
        </w:rPr>
        <w:t>比选人</w:t>
      </w:r>
      <w:r>
        <w:rPr>
          <w:rFonts w:ascii="宋体" w:hAnsi="宋体"/>
          <w:szCs w:val="21"/>
          <w:highlight w:val="none"/>
        </w:rPr>
        <w:t>提供的有关文件及资料不得用于本次</w:t>
      </w:r>
      <w:r>
        <w:rPr>
          <w:rFonts w:hint="eastAsia" w:ascii="宋体" w:hAnsi="宋体"/>
          <w:szCs w:val="21"/>
          <w:highlight w:val="none"/>
        </w:rPr>
        <w:t>比选</w:t>
      </w:r>
      <w:r>
        <w:rPr>
          <w:rFonts w:ascii="宋体" w:hAnsi="宋体"/>
          <w:szCs w:val="21"/>
          <w:highlight w:val="none"/>
        </w:rPr>
        <w:t>工作以外。</w:t>
      </w:r>
    </w:p>
    <w:p w14:paraId="15A2C14B">
      <w:pPr>
        <w:snapToGrid w:val="0"/>
        <w:spacing w:line="400" w:lineRule="exact"/>
        <w:ind w:firstLine="420" w:firstLineChars="200"/>
        <w:rPr>
          <w:rFonts w:ascii="宋体" w:hAnsi="宋体"/>
          <w:szCs w:val="21"/>
          <w:highlight w:val="none"/>
        </w:rPr>
      </w:pPr>
    </w:p>
    <w:p w14:paraId="01776062">
      <w:pPr>
        <w:snapToGrid w:val="0"/>
        <w:spacing w:line="400" w:lineRule="exact"/>
        <w:ind w:firstLine="420" w:firstLineChars="200"/>
        <w:rPr>
          <w:rFonts w:ascii="宋体" w:hAnsi="宋体"/>
          <w:szCs w:val="21"/>
          <w:highlight w:val="none"/>
        </w:rPr>
      </w:pPr>
    </w:p>
    <w:p w14:paraId="1AC1D8E4">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p w14:paraId="3F300F49">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00538ED9">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005CFA4C">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416110E6">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1FC121F1">
      <w:pPr>
        <w:keepNext w:val="0"/>
        <w:keepLines w:val="0"/>
        <w:spacing w:after="0" w:line="240" w:lineRule="auto"/>
        <w:jc w:val="left"/>
        <w:outlineLvl w:val="9"/>
        <w:rPr>
          <w:rFonts w:hint="eastAsia" w:ascii="宋体" w:hAnsi="宋体"/>
          <w:b/>
          <w:bCs/>
          <w:sz w:val="32"/>
          <w:szCs w:val="32"/>
          <w:highlight w:val="none"/>
          <w:lang w:val="en-US" w:eastAsia="zh-CN"/>
        </w:rPr>
      </w:pPr>
      <w:r>
        <w:rPr>
          <w:highlight w:val="none"/>
        </w:rPr>
        <w:br w:type="page"/>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lang w:eastAsia="zh-CN"/>
        </w:rPr>
        <w:t>（</w:t>
      </w:r>
      <w:r>
        <w:rPr>
          <w:rFonts w:hint="eastAsia" w:ascii="宋体" w:hAnsi="宋体"/>
          <w:b/>
          <w:bCs/>
          <w:sz w:val="32"/>
          <w:szCs w:val="32"/>
          <w:highlight w:val="none"/>
          <w:lang w:val="en-US" w:eastAsia="zh-CN"/>
        </w:rPr>
        <w:t>四</w:t>
      </w:r>
      <w:r>
        <w:rPr>
          <w:rFonts w:hint="eastAsia" w:ascii="宋体" w:hAnsi="宋体"/>
          <w:b/>
          <w:bCs/>
          <w:sz w:val="32"/>
          <w:szCs w:val="32"/>
          <w:highlight w:val="none"/>
          <w:lang w:eastAsia="zh-CN"/>
        </w:rPr>
        <w:t>）</w:t>
      </w:r>
      <w:r>
        <w:rPr>
          <w:rFonts w:hint="eastAsia" w:ascii="宋体" w:hAnsi="宋体"/>
          <w:b/>
          <w:bCs/>
          <w:sz w:val="32"/>
          <w:szCs w:val="32"/>
          <w:highlight w:val="none"/>
          <w:lang w:val="en-US" w:eastAsia="zh-CN"/>
        </w:rPr>
        <w:t>联合体协议书（如有）</w:t>
      </w:r>
    </w:p>
    <w:p w14:paraId="266925C9">
      <w:pPr>
        <w:pStyle w:val="8"/>
        <w:jc w:val="left"/>
        <w:rPr>
          <w:rFonts w:ascii="宋体" w:hAnsi="宋体"/>
          <w:snapToGrid w:val="0"/>
          <w:kern w:val="0"/>
          <w:szCs w:val="21"/>
        </w:rPr>
      </w:pP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（所有成员单位名称）自愿组成联合体，共同参加</w:t>
      </w:r>
      <w:r>
        <w:rPr>
          <w:rFonts w:hint="eastAsia" w:ascii="宋体" w:hAnsi="宋体" w:cs="Times New Roman"/>
          <w:snapToGrid w:val="0"/>
          <w:kern w:val="0"/>
          <w:szCs w:val="21"/>
          <w:highlight w:val="none"/>
          <w:u w:val="single"/>
          <w:lang w:val="en-US" w:eastAsia="zh-CN"/>
        </w:rPr>
        <w:t>阿依河景区夜景灯饰及声光电提升EPC工程</w:t>
      </w:r>
      <w:r>
        <w:rPr>
          <w:rFonts w:hint="eastAsia" w:ascii="宋体" w:hAnsi="宋体" w:eastAsia="宋体" w:cs="Times New Roman"/>
          <w:snapToGrid w:val="0"/>
          <w:kern w:val="0"/>
          <w:szCs w:val="21"/>
          <w:highlight w:val="none"/>
          <w:u w:val="single"/>
          <w:lang w:val="en-US" w:eastAsia="zh-CN"/>
        </w:rPr>
        <w:t>施工</w:t>
      </w:r>
      <w:r>
        <w:rPr>
          <w:rFonts w:hint="eastAsia" w:ascii="宋体" w:hAnsi="宋体"/>
          <w:snapToGrid w:val="0"/>
          <w:kern w:val="0"/>
          <w:szCs w:val="21"/>
          <w:lang w:val="en-US" w:eastAsia="zh-CN"/>
        </w:rPr>
        <w:t>参选</w:t>
      </w:r>
      <w:r>
        <w:rPr>
          <w:rFonts w:ascii="宋体" w:hAnsi="宋体"/>
          <w:snapToGrid w:val="0"/>
          <w:kern w:val="0"/>
          <w:szCs w:val="21"/>
        </w:rPr>
        <w:t>。现就联合体投标事宜订立如下协议。</w:t>
      </w:r>
    </w:p>
    <w:p w14:paraId="1BBFDF52">
      <w:pPr>
        <w:tabs>
          <w:tab w:val="left" w:pos="3465"/>
          <w:tab w:val="left" w:pos="4200"/>
        </w:tabs>
        <w:autoSpaceDE w:val="0"/>
        <w:autoSpaceDN w:val="0"/>
        <w:adjustRightInd w:val="0"/>
        <w:snapToGrid w:val="0"/>
        <w:spacing w:line="466" w:lineRule="exact"/>
        <w:ind w:firstLine="405" w:firstLineChars="193"/>
        <w:jc w:val="left"/>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（某成员单位名称）</w:t>
      </w:r>
      <w:r>
        <w:rPr>
          <w:rFonts w:hint="eastAsia" w:ascii="宋体" w:hAnsi="宋体"/>
          <w:snapToGrid w:val="0"/>
          <w:kern w:val="0"/>
          <w:szCs w:val="21"/>
        </w:rPr>
        <w:t>为</w:t>
      </w:r>
      <w:r>
        <w:rPr>
          <w:rFonts w:ascii="宋体" w:hAnsi="宋体"/>
          <w:snapToGrid w:val="0"/>
          <w:kern w:val="0"/>
          <w:szCs w:val="21"/>
          <w:u w:val="single"/>
        </w:rPr>
        <w:tab/>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（项目名称）联合体牵头人。</w:t>
      </w:r>
    </w:p>
    <w:p w14:paraId="575CB4D6">
      <w:pPr>
        <w:autoSpaceDE w:val="0"/>
        <w:autoSpaceDN w:val="0"/>
        <w:adjustRightInd w:val="0"/>
        <w:snapToGrid w:val="0"/>
        <w:spacing w:line="466" w:lineRule="exact"/>
        <w:ind w:firstLine="420"/>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联合体牵头人合法代表联合体各成员负责本</w:t>
      </w:r>
      <w:r>
        <w:rPr>
          <w:rFonts w:hint="eastAsia" w:ascii="宋体" w:hAnsi="宋体"/>
          <w:snapToGrid w:val="0"/>
          <w:kern w:val="0"/>
          <w:szCs w:val="21"/>
          <w:lang w:eastAsia="zh-CN"/>
        </w:rPr>
        <w:t>比选项目参选文件</w:t>
      </w:r>
      <w:r>
        <w:rPr>
          <w:rFonts w:ascii="宋体" w:hAnsi="宋体"/>
          <w:snapToGrid w:val="0"/>
          <w:kern w:val="0"/>
          <w:szCs w:val="21"/>
        </w:rPr>
        <w:t>编制和合同谈判活动，并代表联合体提交和接收相关的资料、信息及指示，并处理与之有关的一切事务，负责合同实施阶段的主办、组织和协调工作。</w:t>
      </w:r>
    </w:p>
    <w:p w14:paraId="7910799A">
      <w:pPr>
        <w:autoSpaceDE w:val="0"/>
        <w:autoSpaceDN w:val="0"/>
        <w:adjustRightInd w:val="0"/>
        <w:snapToGrid w:val="0"/>
        <w:spacing w:line="466" w:lineRule="exact"/>
        <w:ind w:firstLine="420"/>
        <w:jc w:val="left"/>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联合体将严格按照</w:t>
      </w:r>
      <w:r>
        <w:rPr>
          <w:rFonts w:hint="eastAsia" w:ascii="宋体" w:hAnsi="宋体"/>
          <w:snapToGrid w:val="0"/>
          <w:kern w:val="0"/>
          <w:szCs w:val="21"/>
          <w:lang w:eastAsia="zh-CN"/>
        </w:rPr>
        <w:t>比选文件</w:t>
      </w:r>
      <w:r>
        <w:rPr>
          <w:rFonts w:ascii="宋体" w:hAnsi="宋体"/>
          <w:snapToGrid w:val="0"/>
          <w:kern w:val="0"/>
          <w:szCs w:val="21"/>
        </w:rPr>
        <w:t>的各项要求，递交</w:t>
      </w:r>
      <w:r>
        <w:rPr>
          <w:rFonts w:hint="eastAsia" w:ascii="宋体" w:hAnsi="宋体"/>
          <w:snapToGrid w:val="0"/>
          <w:kern w:val="0"/>
          <w:szCs w:val="21"/>
          <w:lang w:eastAsia="zh-CN"/>
        </w:rPr>
        <w:t>参选文件</w:t>
      </w:r>
      <w:r>
        <w:rPr>
          <w:rFonts w:ascii="宋体" w:hAnsi="宋体"/>
          <w:snapToGrid w:val="0"/>
          <w:kern w:val="0"/>
          <w:szCs w:val="21"/>
        </w:rPr>
        <w:t>，履行合同，并对外承担连带责任。</w:t>
      </w:r>
    </w:p>
    <w:p w14:paraId="3A7901DD">
      <w:pPr>
        <w:autoSpaceDE w:val="0"/>
        <w:autoSpaceDN w:val="0"/>
        <w:adjustRightInd w:val="0"/>
        <w:spacing w:line="466" w:lineRule="exact"/>
        <w:ind w:firstLine="420" w:firstLineChars="200"/>
        <w:jc w:val="left"/>
        <w:rPr>
          <w:rFonts w:ascii="宋体" w:hAnsi="宋体"/>
          <w:kern w:val="0"/>
          <w:szCs w:val="21"/>
        </w:rPr>
      </w:pPr>
      <w:r>
        <w:rPr>
          <w:rFonts w:ascii="宋体" w:hAnsi="宋体"/>
          <w:kern w:val="0"/>
          <w:szCs w:val="21"/>
        </w:rPr>
        <w:t>4.</w:t>
      </w:r>
      <w:r>
        <w:rPr>
          <w:rFonts w:hint="eastAsia" w:ascii="宋体" w:hAnsi="宋体"/>
          <w:kern w:val="0"/>
          <w:szCs w:val="21"/>
        </w:rPr>
        <w:t xml:space="preserve"> </w:t>
      </w:r>
      <w:r>
        <w:rPr>
          <w:rFonts w:ascii="宋体" w:hAnsi="宋体"/>
          <w:kern w:val="0"/>
          <w:szCs w:val="21"/>
        </w:rPr>
        <w:t>联合体牵头人代表联合体签署</w:t>
      </w:r>
      <w:r>
        <w:rPr>
          <w:rFonts w:hint="eastAsia" w:ascii="宋体" w:hAnsi="宋体"/>
          <w:kern w:val="0"/>
          <w:szCs w:val="21"/>
          <w:lang w:eastAsia="zh-CN"/>
        </w:rPr>
        <w:t>参选文件</w:t>
      </w:r>
      <w:r>
        <w:rPr>
          <w:rFonts w:ascii="宋体" w:hAnsi="宋体"/>
          <w:spacing w:val="-19"/>
          <w:kern w:val="0"/>
          <w:szCs w:val="21"/>
        </w:rPr>
        <w:t>，</w:t>
      </w:r>
      <w:r>
        <w:rPr>
          <w:rFonts w:ascii="宋体" w:hAnsi="宋体"/>
          <w:kern w:val="0"/>
          <w:szCs w:val="21"/>
        </w:rPr>
        <w:t>联合体牵头人的所有承诺均认为代表了联合体各成员。</w:t>
      </w:r>
    </w:p>
    <w:p w14:paraId="5531AFD7">
      <w:pPr>
        <w:tabs>
          <w:tab w:val="left" w:pos="2020"/>
          <w:tab w:val="left" w:pos="4680"/>
          <w:tab w:val="left" w:pos="7640"/>
          <w:tab w:val="left" w:pos="7820"/>
        </w:tabs>
        <w:autoSpaceDE w:val="0"/>
        <w:autoSpaceDN w:val="0"/>
        <w:adjustRightInd w:val="0"/>
        <w:spacing w:line="466" w:lineRule="exact"/>
        <w:ind w:firstLine="420" w:firstLineChars="200"/>
        <w:jc w:val="left"/>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联合体各成员单位内部的职责分工如下：</w:t>
      </w:r>
    </w:p>
    <w:tbl>
      <w:tblPr>
        <w:tblStyle w:val="15"/>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059"/>
      </w:tblGrid>
      <w:tr w14:paraId="014E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14:paraId="02F629C8">
            <w:pPr>
              <w:autoSpaceDE w:val="0"/>
              <w:autoSpaceDN w:val="0"/>
              <w:adjustRightInd w:val="0"/>
              <w:snapToGrid w:val="0"/>
              <w:spacing w:line="500" w:lineRule="exact"/>
              <w:jc w:val="center"/>
              <w:rPr>
                <w:rFonts w:ascii="宋体" w:hAnsi="宋体"/>
                <w:snapToGrid w:val="0"/>
                <w:kern w:val="0"/>
                <w:szCs w:val="21"/>
              </w:rPr>
            </w:pPr>
            <w:r>
              <w:rPr>
                <w:rFonts w:hint="eastAsia" w:ascii="宋体" w:hAnsi="宋体"/>
                <w:snapToGrid w:val="0"/>
                <w:kern w:val="0"/>
                <w:szCs w:val="21"/>
              </w:rPr>
              <w:t>联合体成员</w:t>
            </w:r>
            <w:r>
              <w:rPr>
                <w:rFonts w:ascii="宋体" w:hAnsi="宋体"/>
                <w:snapToGrid w:val="0"/>
                <w:kern w:val="0"/>
                <w:szCs w:val="21"/>
              </w:rPr>
              <w:t>名称</w:t>
            </w:r>
          </w:p>
        </w:tc>
        <w:tc>
          <w:tcPr>
            <w:tcW w:w="2410" w:type="dxa"/>
            <w:noWrap w:val="0"/>
            <w:vAlign w:val="top"/>
          </w:tcPr>
          <w:p w14:paraId="3535C7E5">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059" w:type="dxa"/>
            <w:noWrap w:val="0"/>
            <w:vAlign w:val="top"/>
          </w:tcPr>
          <w:p w14:paraId="3FBB556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14:paraId="3FD8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14:paraId="2441775A">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noWrap w:val="0"/>
            <w:vAlign w:val="top"/>
          </w:tcPr>
          <w:p w14:paraId="33772014">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059" w:type="dxa"/>
            <w:noWrap w:val="0"/>
            <w:vAlign w:val="top"/>
          </w:tcPr>
          <w:p w14:paraId="0EDAC610">
            <w:pPr>
              <w:autoSpaceDE w:val="0"/>
              <w:autoSpaceDN w:val="0"/>
              <w:adjustRightInd w:val="0"/>
              <w:snapToGrid w:val="0"/>
              <w:spacing w:line="500" w:lineRule="exact"/>
              <w:ind w:firstLine="420"/>
              <w:jc w:val="left"/>
              <w:rPr>
                <w:rFonts w:ascii="宋体" w:hAnsi="宋体"/>
                <w:snapToGrid w:val="0"/>
                <w:kern w:val="0"/>
                <w:szCs w:val="21"/>
              </w:rPr>
            </w:pPr>
          </w:p>
        </w:tc>
      </w:tr>
      <w:tr w14:paraId="1DB7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14:paraId="3884864E">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noWrap w:val="0"/>
            <w:vAlign w:val="top"/>
          </w:tcPr>
          <w:p w14:paraId="17FF611B">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059" w:type="dxa"/>
            <w:noWrap w:val="0"/>
            <w:vAlign w:val="top"/>
          </w:tcPr>
          <w:p w14:paraId="4C7A4E56">
            <w:pPr>
              <w:autoSpaceDE w:val="0"/>
              <w:autoSpaceDN w:val="0"/>
              <w:adjustRightInd w:val="0"/>
              <w:snapToGrid w:val="0"/>
              <w:spacing w:line="500" w:lineRule="exact"/>
              <w:ind w:firstLine="420"/>
              <w:jc w:val="left"/>
              <w:rPr>
                <w:rFonts w:ascii="宋体" w:hAnsi="宋体"/>
                <w:snapToGrid w:val="0"/>
                <w:kern w:val="0"/>
                <w:szCs w:val="21"/>
              </w:rPr>
            </w:pPr>
          </w:p>
        </w:tc>
      </w:tr>
    </w:tbl>
    <w:p w14:paraId="4DCABC6C">
      <w:pPr>
        <w:tabs>
          <w:tab w:val="left" w:pos="2020"/>
          <w:tab w:val="left" w:pos="4680"/>
          <w:tab w:val="left" w:pos="7640"/>
          <w:tab w:val="left" w:pos="7820"/>
        </w:tabs>
        <w:autoSpaceDE w:val="0"/>
        <w:autoSpaceDN w:val="0"/>
        <w:adjustRightIn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6.由联合体牵头人委派本项目的委托代理人。</w:t>
      </w:r>
    </w:p>
    <w:p w14:paraId="13683803">
      <w:pPr>
        <w:autoSpaceDE w:val="0"/>
        <w:autoSpaceDN w:val="0"/>
        <w:adjustRightInd w:val="0"/>
        <w:snapToGrid w:val="0"/>
        <w:spacing w:line="466" w:lineRule="exact"/>
        <w:ind w:firstLine="420"/>
        <w:jc w:val="left"/>
        <w:rPr>
          <w:rFonts w:ascii="宋体" w:hAnsi="宋体"/>
          <w:spacing w:val="-1"/>
          <w:kern w:val="0"/>
          <w:szCs w:val="21"/>
        </w:rPr>
      </w:pPr>
      <w:r>
        <w:rPr>
          <w:rFonts w:hint="eastAsia" w:ascii="宋体" w:hAnsi="宋体"/>
          <w:spacing w:val="-1"/>
          <w:kern w:val="0"/>
          <w:szCs w:val="21"/>
        </w:rPr>
        <w:t>7.</w:t>
      </w:r>
      <w:r>
        <w:rPr>
          <w:rFonts w:hint="eastAsia" w:ascii="宋体" w:hAnsi="宋体"/>
          <w:spacing w:val="-1"/>
          <w:kern w:val="0"/>
          <w:szCs w:val="21"/>
          <w:lang w:val="en-US" w:eastAsia="zh-CN"/>
        </w:rPr>
        <w:t>比选</w:t>
      </w:r>
      <w:r>
        <w:rPr>
          <w:rFonts w:hint="eastAsia" w:ascii="宋体" w:hAnsi="宋体"/>
          <w:spacing w:val="-1"/>
          <w:kern w:val="0"/>
          <w:szCs w:val="21"/>
        </w:rPr>
        <w:t>工作和联合体在</w:t>
      </w:r>
      <w:r>
        <w:rPr>
          <w:rFonts w:hint="eastAsia" w:ascii="宋体" w:hAnsi="宋体"/>
          <w:spacing w:val="-1"/>
          <w:kern w:val="0"/>
          <w:szCs w:val="21"/>
          <w:lang w:val="en-US" w:eastAsia="zh-CN"/>
        </w:rPr>
        <w:t>中选</w:t>
      </w:r>
      <w:r>
        <w:rPr>
          <w:rFonts w:hint="eastAsia" w:ascii="宋体" w:hAnsi="宋体"/>
          <w:spacing w:val="-1"/>
          <w:kern w:val="0"/>
          <w:szCs w:val="21"/>
        </w:rPr>
        <w:t>后工程实施过程中的有关费用按各自承担的工作量分摊。</w:t>
      </w:r>
    </w:p>
    <w:p w14:paraId="319C4A6B">
      <w:pPr>
        <w:autoSpaceDE w:val="0"/>
        <w:autoSpaceDN w:val="0"/>
        <w:adjustRightInd w:val="0"/>
        <w:snapToGrid w:val="0"/>
        <w:spacing w:line="466" w:lineRule="exact"/>
        <w:ind w:firstLine="420"/>
        <w:jc w:val="left"/>
        <w:rPr>
          <w:rFonts w:ascii="宋体" w:hAnsi="宋体"/>
          <w:spacing w:val="-1"/>
          <w:kern w:val="0"/>
          <w:szCs w:val="21"/>
        </w:rPr>
      </w:pPr>
      <w:r>
        <w:rPr>
          <w:rFonts w:hint="eastAsia" w:ascii="宋体" w:hAnsi="宋体"/>
          <w:spacing w:val="-1"/>
          <w:kern w:val="0"/>
          <w:szCs w:val="21"/>
        </w:rPr>
        <w:t>8.本协议书自签署之日起生效，合同履行完毕后自动失效。</w:t>
      </w:r>
    </w:p>
    <w:p w14:paraId="7583A401">
      <w:pPr>
        <w:autoSpaceDE w:val="0"/>
        <w:autoSpaceDN w:val="0"/>
        <w:adjustRightInd w:val="0"/>
        <w:snapToGrid w:val="0"/>
        <w:spacing w:line="466" w:lineRule="exact"/>
        <w:ind w:firstLine="420"/>
        <w:jc w:val="left"/>
        <w:rPr>
          <w:rFonts w:ascii="宋体" w:hAnsi="宋体"/>
          <w:spacing w:val="-1"/>
          <w:kern w:val="0"/>
          <w:szCs w:val="21"/>
        </w:rPr>
      </w:pPr>
      <w:r>
        <w:rPr>
          <w:rFonts w:hint="eastAsia" w:ascii="宋体" w:hAnsi="宋体"/>
          <w:spacing w:val="-1"/>
          <w:kern w:val="0"/>
          <w:szCs w:val="21"/>
        </w:rPr>
        <w:t>9.本协议书一式</w:t>
      </w:r>
      <w:r>
        <w:rPr>
          <w:rFonts w:hint="eastAsia" w:ascii="宋体" w:hAnsi="宋体"/>
          <w:spacing w:val="-1"/>
          <w:kern w:val="0"/>
          <w:szCs w:val="21"/>
          <w:u w:val="single"/>
          <w:lang w:val="en-US" w:eastAsia="zh-CN"/>
        </w:rPr>
        <w:t>三</w:t>
      </w:r>
      <w:r>
        <w:rPr>
          <w:rFonts w:hint="eastAsia" w:ascii="宋体" w:hAnsi="宋体"/>
          <w:spacing w:val="-1"/>
          <w:kern w:val="0"/>
          <w:szCs w:val="21"/>
        </w:rPr>
        <w:t>份，联合体成员和</w:t>
      </w:r>
      <w:r>
        <w:rPr>
          <w:rFonts w:hint="eastAsia" w:ascii="宋体" w:hAnsi="宋体"/>
          <w:spacing w:val="-1"/>
          <w:kern w:val="0"/>
          <w:szCs w:val="21"/>
          <w:lang w:val="en-US" w:eastAsia="zh-CN"/>
        </w:rPr>
        <w:t>比选</w:t>
      </w:r>
      <w:r>
        <w:rPr>
          <w:rFonts w:hint="eastAsia" w:ascii="宋体" w:hAnsi="宋体"/>
          <w:spacing w:val="-1"/>
          <w:kern w:val="0"/>
          <w:szCs w:val="21"/>
        </w:rPr>
        <w:t>人各执</w:t>
      </w:r>
      <w:r>
        <w:rPr>
          <w:rFonts w:hint="eastAsia" w:ascii="宋体" w:hAnsi="宋体"/>
          <w:spacing w:val="-1"/>
          <w:kern w:val="0"/>
          <w:szCs w:val="21"/>
          <w:u w:val="single"/>
          <w:lang w:val="en-US" w:eastAsia="zh-CN"/>
        </w:rPr>
        <w:t>一</w:t>
      </w:r>
      <w:r>
        <w:rPr>
          <w:rFonts w:hint="eastAsia" w:ascii="宋体" w:hAnsi="宋体"/>
          <w:spacing w:val="-1"/>
          <w:kern w:val="0"/>
          <w:szCs w:val="21"/>
        </w:rPr>
        <w:t>份。</w:t>
      </w:r>
    </w:p>
    <w:p w14:paraId="575DDFD6">
      <w:pPr>
        <w:widowControl/>
        <w:jc w:val="left"/>
        <w:rPr>
          <w:rFonts w:ascii="宋体" w:hAnsi="宋体"/>
          <w:spacing w:val="-1"/>
          <w:kern w:val="0"/>
          <w:szCs w:val="21"/>
          <w:u w:val="single"/>
        </w:rPr>
      </w:pPr>
    </w:p>
    <w:p w14:paraId="2B66D5C6">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牵头人名称：</w:t>
      </w:r>
      <w:r>
        <w:rPr>
          <w:rFonts w:hint="eastAsia" w:ascii="宋体" w:hAnsi="宋体"/>
          <w:spacing w:val="-1"/>
          <w:kern w:val="0"/>
          <w:szCs w:val="21"/>
          <w:u w:val="single"/>
        </w:rPr>
        <w:t xml:space="preserve">                                </w:t>
      </w:r>
      <w:r>
        <w:rPr>
          <w:rFonts w:hint="eastAsia" w:ascii="宋体" w:hAnsi="宋体"/>
          <w:spacing w:val="-1"/>
          <w:kern w:val="0"/>
          <w:szCs w:val="21"/>
        </w:rPr>
        <w:t>（盖单位法人章）</w:t>
      </w:r>
    </w:p>
    <w:p w14:paraId="1B4E6769">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法定代表人或其委托代理人：</w:t>
      </w:r>
      <w:r>
        <w:rPr>
          <w:rFonts w:hint="eastAsia" w:ascii="宋体" w:hAnsi="宋体"/>
          <w:spacing w:val="-1"/>
          <w:kern w:val="0"/>
          <w:szCs w:val="21"/>
          <w:u w:val="single"/>
        </w:rPr>
        <w:t xml:space="preserve">                  </w:t>
      </w:r>
      <w:r>
        <w:rPr>
          <w:rFonts w:hint="eastAsia" w:ascii="宋体" w:hAnsi="宋体"/>
          <w:spacing w:val="-1"/>
          <w:kern w:val="0"/>
          <w:szCs w:val="21"/>
        </w:rPr>
        <w:t>（签名或盖章）</w:t>
      </w:r>
    </w:p>
    <w:p w14:paraId="32F9B072">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联合体其他成员单位一名称：</w:t>
      </w:r>
      <w:r>
        <w:rPr>
          <w:rFonts w:hint="eastAsia" w:ascii="宋体" w:hAnsi="宋体"/>
          <w:spacing w:val="-1"/>
          <w:kern w:val="0"/>
          <w:szCs w:val="21"/>
          <w:u w:val="single"/>
        </w:rPr>
        <w:t xml:space="preserve">                  </w:t>
      </w:r>
      <w:r>
        <w:rPr>
          <w:rFonts w:hint="eastAsia" w:ascii="宋体" w:hAnsi="宋体"/>
          <w:spacing w:val="-1"/>
          <w:kern w:val="0"/>
          <w:szCs w:val="21"/>
        </w:rPr>
        <w:t>（盖单位法人章）</w:t>
      </w:r>
    </w:p>
    <w:p w14:paraId="4EE32A0C">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法定代表人或其委托代理人：</w:t>
      </w:r>
      <w:r>
        <w:rPr>
          <w:rFonts w:hint="eastAsia" w:ascii="宋体" w:hAnsi="宋体"/>
          <w:spacing w:val="-1"/>
          <w:kern w:val="0"/>
          <w:szCs w:val="21"/>
          <w:u w:val="single"/>
        </w:rPr>
        <w:t xml:space="preserve">                  </w:t>
      </w:r>
      <w:r>
        <w:rPr>
          <w:rFonts w:hint="eastAsia" w:ascii="宋体" w:hAnsi="宋体"/>
          <w:spacing w:val="-1"/>
          <w:kern w:val="0"/>
          <w:szCs w:val="21"/>
        </w:rPr>
        <w:t>（签名或盖章）</w:t>
      </w:r>
    </w:p>
    <w:p w14:paraId="22050F5C">
      <w:pPr>
        <w:tabs>
          <w:tab w:val="left" w:pos="3840"/>
          <w:tab w:val="left" w:pos="4780"/>
          <w:tab w:val="left" w:pos="5720"/>
        </w:tabs>
        <w:wordWrap w:val="0"/>
        <w:autoSpaceDE w:val="0"/>
        <w:autoSpaceDN w:val="0"/>
        <w:adjustRightInd w:val="0"/>
        <w:snapToGrid w:val="0"/>
        <w:spacing w:line="466" w:lineRule="exact"/>
        <w:jc w:val="right"/>
        <w:rPr>
          <w:rFonts w:ascii="宋体" w:hAnsi="宋体"/>
          <w:kern w:val="0"/>
          <w:szCs w:val="21"/>
        </w:rPr>
      </w:pPr>
      <w:r>
        <w:rPr>
          <w:rFonts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D4EDE64">
      <w:pPr>
        <w:pStyle w:val="6"/>
        <w:tabs>
          <w:tab w:val="left" w:pos="315"/>
        </w:tabs>
        <w:spacing w:line="466" w:lineRule="exact"/>
        <w:ind w:firstLine="0"/>
        <w:jc w:val="right"/>
        <w:rPr>
          <w:rFonts w:ascii="宋体" w:hAnsi="宋体" w:eastAsia="宋体"/>
          <w:sz w:val="21"/>
          <w:szCs w:val="21"/>
        </w:rPr>
      </w:pPr>
      <w: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240030</wp:posOffset>
                </wp:positionV>
                <wp:extent cx="5470525" cy="0"/>
                <wp:effectExtent l="0" t="4445" r="0" b="5080"/>
                <wp:wrapNone/>
                <wp:docPr id="241" name="直接连接符 241"/>
                <wp:cNvGraphicFramePr/>
                <a:graphic xmlns:a="http://schemas.openxmlformats.org/drawingml/2006/main">
                  <a:graphicData uri="http://schemas.microsoft.com/office/word/2010/wordprocessingShape">
                    <wps:wsp>
                      <wps:cNvCnPr>
                        <a:cxnSpLocks noChangeShapeType="1"/>
                      </wps:cNvCnPr>
                      <wps:spPr bwMode="auto">
                        <a:xfrm>
                          <a:off x="0" y="0"/>
                          <a:ext cx="5470525" cy="0"/>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3.75pt;margin-top:18.9pt;height:0pt;width:430.75pt;z-index:251670528;mso-width-relative:page;mso-height-relative:page;" filled="f" stroked="t" coordsize="21600,21600" o:gfxdata="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HI&#10;MpfWAAAABwEAAA8AAAAAAAAAAQAgAAAAIgAAAGRycy9kb3ducmV2LnhtbFBLAQIUABQAAAAIAIdO&#10;4kB6jg6N7AEAALwDAAAOAAAAAAAAAAEAIAAAACUBAABkcnMvZTJvRG9jLnhtbFBLBQYAAAAABgAG&#10;AFkBAACDBQAAAAA=&#10;">
                <v:fill on="f" focussize="0,0"/>
                <v:stroke weight="0.25pt" color="#000000" joinstyle="round"/>
                <v:imagedata o:title=""/>
                <o:lock v:ext="edit" aspectratio="f"/>
              </v:line>
            </w:pict>
          </mc:Fallback>
        </mc:AlternateContent>
      </w:r>
    </w:p>
    <w:p w14:paraId="158F2623">
      <w:pPr>
        <w:spacing w:line="360" w:lineRule="auto"/>
        <w:ind w:firstLine="420" w:firstLineChars="200"/>
        <w:rPr>
          <w:rFonts w:ascii="宋体" w:hAnsi="宋体"/>
          <w:szCs w:val="21"/>
        </w:rPr>
      </w:pPr>
      <w:r>
        <w:rPr>
          <w:rFonts w:ascii="宋体" w:hAnsi="宋体"/>
          <w:szCs w:val="21"/>
        </w:rPr>
        <w:t>注：</w:t>
      </w:r>
      <w:r>
        <w:rPr>
          <w:rFonts w:hint="eastAsia" w:ascii="宋体" w:hAnsi="宋体"/>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3E1E86DE">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本协议书由委托代理人签名或盖章的，应附法定代表人签名或盖章的授权委托书。</w:t>
      </w:r>
    </w:p>
    <w:p w14:paraId="22C459FB">
      <w:pPr>
        <w:keepNext w:val="0"/>
        <w:keepLines w:val="0"/>
        <w:spacing w:after="0" w:line="240" w:lineRule="auto"/>
        <w:jc w:val="left"/>
        <w:outlineLvl w:val="9"/>
        <w:rPr>
          <w:rFonts w:hint="eastAsia" w:ascii="宋体" w:hAnsi="宋体"/>
          <w:b/>
          <w:bCs/>
          <w:sz w:val="32"/>
          <w:szCs w:val="32"/>
          <w:highlight w:val="none"/>
        </w:rPr>
      </w:pPr>
    </w:p>
    <w:p w14:paraId="2A3202AA">
      <w:pPr>
        <w:keepNext w:val="0"/>
        <w:keepLines w:val="0"/>
        <w:spacing w:after="0" w:line="240" w:lineRule="auto"/>
        <w:jc w:val="left"/>
        <w:outlineLvl w:val="0"/>
        <w:rPr>
          <w:rFonts w:hint="eastAsia" w:ascii="宋体" w:hAnsi="宋体"/>
          <w:b/>
          <w:bCs/>
          <w:sz w:val="32"/>
          <w:szCs w:val="32"/>
          <w:highlight w:val="none"/>
        </w:rPr>
      </w:pPr>
      <w:r>
        <w:rPr>
          <w:rFonts w:hint="eastAsia" w:ascii="宋体" w:hAnsi="宋体"/>
          <w:b/>
          <w:bCs/>
          <w:sz w:val="32"/>
          <w:szCs w:val="32"/>
          <w:highlight w:val="none"/>
        </w:rPr>
        <w:br w:type="page"/>
      </w:r>
    </w:p>
    <w:p w14:paraId="1CF667AC">
      <w:pPr>
        <w:keepNext/>
        <w:keepLines/>
        <w:spacing w:after="260" w:line="360" w:lineRule="auto"/>
        <w:jc w:val="center"/>
        <w:outlineLvl w:val="0"/>
        <w:rPr>
          <w:rFonts w:ascii="宋体" w:hAnsi="宋体"/>
          <w:b/>
          <w:bCs/>
          <w:sz w:val="32"/>
          <w:szCs w:val="32"/>
          <w:highlight w:val="none"/>
        </w:rPr>
      </w:pPr>
      <w:r>
        <w:rPr>
          <w:rFonts w:hint="eastAsia" w:ascii="宋体" w:hAnsi="宋体"/>
          <w:b/>
          <w:bCs/>
          <w:sz w:val="32"/>
          <w:szCs w:val="32"/>
          <w:highlight w:val="none"/>
        </w:rPr>
        <w:t>（</w:t>
      </w:r>
      <w:r>
        <w:rPr>
          <w:rFonts w:hint="eastAsia" w:ascii="宋体" w:hAnsi="宋体"/>
          <w:b/>
          <w:bCs/>
          <w:sz w:val="32"/>
          <w:szCs w:val="32"/>
          <w:highlight w:val="none"/>
          <w:lang w:val="en-US" w:eastAsia="zh-CN"/>
        </w:rPr>
        <w:t>五</w:t>
      </w:r>
      <w:r>
        <w:rPr>
          <w:rFonts w:hint="eastAsia" w:ascii="宋体" w:hAnsi="宋体"/>
          <w:b/>
          <w:bCs/>
          <w:sz w:val="32"/>
          <w:szCs w:val="32"/>
          <w:highlight w:val="none"/>
        </w:rPr>
        <w:t>）其他资料</w:t>
      </w:r>
    </w:p>
    <w:p w14:paraId="5C5C5943">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业绩证明材料</w:t>
      </w:r>
    </w:p>
    <w:p w14:paraId="0EE1EDEB">
      <w:pPr>
        <w:pStyle w:val="2"/>
        <w:ind w:firstLine="420" w:firstLineChars="200"/>
        <w:rPr>
          <w:rFonts w:ascii="宋体" w:hAnsi="宋体" w:cs="Times New Roman"/>
          <w:b w:val="0"/>
          <w:bCs w:val="0"/>
          <w:sz w:val="21"/>
          <w:szCs w:val="21"/>
          <w:highlight w:val="none"/>
        </w:rPr>
      </w:pPr>
      <w:r>
        <w:rPr>
          <w:rFonts w:hint="eastAsia" w:ascii="宋体" w:hAnsi="宋体" w:cs="Times New Roman"/>
          <w:b w:val="0"/>
          <w:bCs w:val="0"/>
          <w:sz w:val="21"/>
          <w:szCs w:val="21"/>
          <w:highlight w:val="none"/>
        </w:rPr>
        <w:t>需提供业绩证明所须的合同复印件、项目已实质性启动或落地的证明文件资料，合同复印件和证明文件资料均须加盖公章，证明文件资料须反映对应合同项目名称，合同原件备查。</w:t>
      </w:r>
    </w:p>
    <w:p w14:paraId="2FE5810F">
      <w:pPr>
        <w:rPr>
          <w:rFonts w:ascii="宋体" w:hAnsi="宋体"/>
          <w:szCs w:val="21"/>
          <w:highlight w:val="none"/>
        </w:rPr>
      </w:pPr>
    </w:p>
    <w:p w14:paraId="04D86240">
      <w:pPr>
        <w:tabs>
          <w:tab w:val="left" w:pos="2580"/>
          <w:tab w:val="left" w:pos="5940"/>
        </w:tabs>
        <w:jc w:val="left"/>
        <w:rPr>
          <w:rFonts w:ascii="宋体" w:hAnsi="宋体" w:cs="宋体"/>
          <w:kern w:val="0"/>
          <w:sz w:val="28"/>
          <w:szCs w:val="28"/>
          <w:highlight w:val="none"/>
        </w:rPr>
      </w:pPr>
    </w:p>
    <w:p w14:paraId="0EEDA074">
      <w:pPr>
        <w:rPr>
          <w:highlight w:val="none"/>
        </w:rPr>
      </w:pPr>
    </w:p>
    <w:p w14:paraId="13755047">
      <w:pPr>
        <w:rPr>
          <w:highlight w:val="none"/>
        </w:rPr>
      </w:pPr>
    </w:p>
    <w:p w14:paraId="09F16832">
      <w:pPr>
        <w:pStyle w:val="2"/>
        <w:rPr>
          <w:highlight w:val="none"/>
        </w:rPr>
      </w:pPr>
    </w:p>
    <w:p w14:paraId="3DFE6436">
      <w:pPr>
        <w:rPr>
          <w:highlight w:val="none"/>
        </w:rPr>
      </w:pPr>
    </w:p>
    <w:p w14:paraId="23FA83E1">
      <w:pPr>
        <w:pStyle w:val="2"/>
        <w:rPr>
          <w:highlight w:val="none"/>
        </w:rPr>
      </w:pPr>
    </w:p>
    <w:p w14:paraId="65466581">
      <w:pPr>
        <w:pStyle w:val="2"/>
        <w:rPr>
          <w:highlight w:val="none"/>
        </w:rPr>
      </w:pPr>
    </w:p>
    <w:p w14:paraId="0D21F251">
      <w:pPr>
        <w:rPr>
          <w:highlight w:val="none"/>
        </w:rPr>
      </w:pPr>
    </w:p>
    <w:p w14:paraId="5A002B05">
      <w:pPr>
        <w:pStyle w:val="2"/>
        <w:rPr>
          <w:highlight w:val="none"/>
        </w:rPr>
      </w:pPr>
    </w:p>
    <w:p w14:paraId="63933EF9">
      <w:pPr>
        <w:rPr>
          <w:highlight w:val="none"/>
        </w:rPr>
      </w:pPr>
    </w:p>
    <w:p w14:paraId="1D222111">
      <w:pPr>
        <w:pStyle w:val="2"/>
        <w:rPr>
          <w:highlight w:val="none"/>
        </w:rPr>
      </w:pPr>
    </w:p>
    <w:p w14:paraId="4823A7AE">
      <w:pPr>
        <w:rPr>
          <w:highlight w:val="none"/>
        </w:rPr>
      </w:pPr>
    </w:p>
    <w:p w14:paraId="1BA3BB68">
      <w:pPr>
        <w:pStyle w:val="2"/>
        <w:rPr>
          <w:highlight w:val="none"/>
        </w:rPr>
      </w:pPr>
    </w:p>
    <w:p w14:paraId="22E33738">
      <w:pPr>
        <w:spacing w:line="360" w:lineRule="auto"/>
        <w:ind w:firstLine="420" w:firstLineChars="200"/>
        <w:rPr>
          <w:rFonts w:ascii="宋体" w:hAnsi="宋体"/>
          <w:szCs w:val="21"/>
          <w:highlight w:val="none"/>
        </w:rPr>
      </w:pPr>
    </w:p>
    <w:p w14:paraId="0BEE0D1F">
      <w:pPr>
        <w:pStyle w:val="2"/>
        <w:rPr>
          <w:rFonts w:ascii="宋体" w:hAnsi="宋体"/>
          <w:szCs w:val="21"/>
          <w:highlight w:val="none"/>
        </w:rPr>
      </w:pPr>
    </w:p>
    <w:p w14:paraId="451791E2">
      <w:pPr>
        <w:rPr>
          <w:rFonts w:ascii="宋体" w:hAnsi="宋体"/>
          <w:szCs w:val="21"/>
          <w:highlight w:val="none"/>
        </w:rPr>
      </w:pPr>
    </w:p>
    <w:p w14:paraId="7A9B1203">
      <w:pPr>
        <w:pStyle w:val="2"/>
        <w:rPr>
          <w:rFonts w:ascii="宋体" w:hAnsi="宋体"/>
          <w:szCs w:val="21"/>
          <w:highlight w:val="none"/>
        </w:rPr>
      </w:pPr>
    </w:p>
    <w:p w14:paraId="0E1318E5">
      <w:pPr>
        <w:rPr>
          <w:rFonts w:ascii="宋体" w:hAnsi="宋体"/>
          <w:szCs w:val="21"/>
          <w:highlight w:val="none"/>
        </w:rPr>
      </w:pPr>
    </w:p>
    <w:p w14:paraId="1C47C3AB">
      <w:pPr>
        <w:rPr>
          <w:highlight w:val="none"/>
        </w:rPr>
      </w:pPr>
    </w:p>
    <w:p w14:paraId="665EBAB1">
      <w:pPr>
        <w:pStyle w:val="2"/>
        <w:rPr>
          <w:highlight w:val="none"/>
        </w:rPr>
      </w:pPr>
    </w:p>
    <w:p w14:paraId="0249C9BF">
      <w:pPr>
        <w:tabs>
          <w:tab w:val="left" w:pos="2580"/>
          <w:tab w:val="left" w:pos="5940"/>
        </w:tabs>
        <w:jc w:val="left"/>
        <w:rPr>
          <w:rFonts w:ascii="宋体" w:hAnsi="宋体" w:cs="宋体"/>
          <w:kern w:val="0"/>
          <w:sz w:val="28"/>
          <w:szCs w:val="28"/>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4" name="矩形 14"/>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10113CA5">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142.2pt;margin-top:106.4pt;height:62.4pt;width:168.05pt;mso-position-horizontal-relative:char;mso-position-vertical-relative:line;mso-wrap-style:none;z-index:251665408;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5fHVy2AAAAAsBAAAPAAAAAAAAAAEAIAAAACIAAABkcnMvZG93bnJldi54bWxQ&#10;SwECFAAUAAAACACHTuJAX0RqufcBAADVAwAADgAAAAAAAAABACAAAAAnAQAAZHJzL2Uyb0RvYy54&#10;bWxQSwUGAAAAAAYABgBZAQAAkAUAAAAA&#10;">
                <v:fill on="f" focussize="0,0"/>
                <v:stroke on="f"/>
                <v:imagedata o:title=""/>
                <o:lock v:ext="edit" aspectratio="f"/>
                <v:textbox inset="0mm,0mm,0mm,0mm" style="mso-fit-shape-to-text:t;">
                  <w:txbxContent>
                    <w:p w14:paraId="10113CA5">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5" name="矩形 15"/>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1252A606">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6950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GBhk2QAAAA0BAAAPAAAAAAAAAAEAIAAAACIAAABkcnMvZG93&#10;bnJldi54bWxQSwECFAAUAAAACACHTuJABcLn2P8BAADjAwAADgAAAAAAAAABACAAAAAoAQAAZHJz&#10;L2Uyb0RvYy54bWxQSwUGAAAAAAYABgBZAQAAmQUAAAAA&#10;">
                <v:fill on="f" focussize="0,0"/>
                <v:stroke on="f"/>
                <v:imagedata o:title=""/>
                <o:lock v:ext="edit" aspectratio="f"/>
                <v:textbox inset="0mm,0mm,0mm,0mm" style="mso-fit-shape-to-text:t;">
                  <w:txbxContent>
                    <w:p w14:paraId="1252A606">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haracter">
                  <wp:posOffset>3669030</wp:posOffset>
                </wp:positionH>
                <wp:positionV relativeFrom="line">
                  <wp:posOffset>6773545</wp:posOffset>
                </wp:positionV>
                <wp:extent cx="3175" cy="3128010"/>
                <wp:effectExtent l="4445" t="0" r="11430" b="15240"/>
                <wp:wrapNone/>
                <wp:docPr id="16" name="直接连接符 16"/>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_x0000_s1026" o:spid="_x0000_s1026" o:spt="20" style="position:absolute;left:0pt;flip:x y;margin-left:288.9pt;margin-top:533.35pt;height:246.3pt;width:0.25pt;mso-position-horizontal-relative:char;mso-position-vertical-relative:line;z-index:251667456;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8v7F3AAAAA0BAAAPAAAAAAAAAAEAIAAAACIA&#10;AABkcnMvZG93bnJldi54bWxQSwECFAAUAAAACACHTuJA2QPuYwUCAAAIBAAADgAAAAAAAAABACAA&#10;AAArAQAAZHJzL2Uyb0RvYy54bWxQSwUGAAAAAAYABgBZAQAAogUAAAAA&#10;">
                <v:fill on="f" focussize="0,0"/>
                <v:stroke color="#000000" joinstyle="miter" dashstyle="dash"/>
                <v:imagedata o:title=""/>
                <o:lock v:ext="edit" aspectratio="f"/>
              </v:lin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_x0000_s1026" o:spid="_x0000_s1026" o:spt="32" type="#_x0000_t32" style="position:absolute;left:0pt;flip:y;margin-left:290.2pt;margin-top:533.6pt;height:0.35pt;width:242.3pt;mso-position-horizontal-relative:char;mso-position-vertical-relative:line;z-index:251662336;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vfTrXaAAAADgEAAA8AAAAA&#10;AAAAAQAgAAAAIgAAAGRycy9kb3ducmV2LnhtbFBLAQIUABQAAAAIAIdO4kCcmXvLEgIAABIEAAAO&#10;AAAAAAAAAAEAIAAAACkBAABkcnMvZTJvRG9jLnhtbFBLBQYAAAAABgAGAFkBAACtBQAAAAA=&#10;">
                <v:fill on="f" focussize="0,0"/>
                <v:stroke color="#000000" joinstyle="miter" dashstyle="dash"/>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8" name="直接连接符 18"/>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_x0000_s1026" o:spid="_x0000_s1026" o:spt="20" style="position:absolute;left:0pt;flip:y;margin-left:290.6pt;margin-top:534.1pt;height:242.95pt;width:240.75pt;mso-position-horizontal-relative:char;mso-position-vertical-relative:line;z-index:251666432;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&#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RR7J2gAAAA4BAAAPAAAAAAAAAAEAIAAAACIAAABk&#10;cnMvZG93bnJldi54bWxQSwECFAAUAAAACACHTuJAQ5RYAwQCAAAEBAAADgAAAAAAAAABACAAAAAp&#10;AQAAZHJzL2Uyb0RvYy54bWxQSwUGAAAAAAYABgBZAQAAnwUAAAAA&#10;">
                <v:fill on="f" focussize="0,0"/>
                <v:stroke color="#000000" joinstyle="miter" dashstyle="dashDot"/>
                <v:imagedata o:title=""/>
                <o:lock v:ext="edit" aspectratio="f"/>
              </v:lin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9" name="椭圆 19"/>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67A48A53"/>
                        </w:txbxContent>
                      </wps:txbx>
                      <wps:bodyPr vert="horz" wrap="square" anchor="t" anchorCtr="0" upright="1"/>
                    </wps:wsp>
                  </a:graphicData>
                </a:graphic>
              </wp:anchor>
            </w:drawing>
          </mc:Choice>
          <mc:Fallback>
            <w:pict>
              <v:shape id="_x0000_s1026" o:spid="_x0000_s1026" o:spt="3" type="#_x0000_t3" style="position:absolute;left:0pt;margin-left:335.15pt;margin-top:579.5pt;height:146.2pt;width:146.25pt;mso-position-horizontal-relative:char;mso-position-vertical-relative:line;z-index:251663360;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hNOB2gAAAA0BAAAPAAAAAAAAAAEAIAAAACIAAABkcnMvZG93bnJldi54bWxQSwECFAAUAAAA&#10;CACHTuJA2ghMkiUCAABJBAAADgAAAAAAAAABACAAAAApAQAAZHJzL2Uyb0RvYy54bWxQSwUGAAAA&#10;AAYABgBZAQAAwAUAAAAA&#10;">
                <v:fill on="f" focussize="0,0"/>
                <v:stroke color="#000000" joinstyle="miter" dashstyle="dashDot"/>
                <v:imagedata o:title=""/>
                <o:lock v:ext="edit" aspectratio="f"/>
                <v:textbox>
                  <w:txbxContent>
                    <w:p w14:paraId="67A48A53"/>
                  </w:txbxContent>
                </v:textbox>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20" name="矩形 20"/>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1D47C99A">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483.5pt;margin-top:558.35pt;height:15.6pt;width:33.05pt;mso-position-horizontal-relative:char;mso-position-vertical-relative:line;mso-wrap-style:none;rotation:-2883584f;z-index:251668480;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3fAV2gAAAA4BAAAPAAAAAAAAAAEAIAAAACIAAABkcnMvZG93&#10;bnJldi54bWxQSwECFAAUAAAACACHTuJAkVYdSf4BAADjAwAADgAAAAAAAAABACAAAAApAQAAZHJz&#10;L2Uyb0RvYy54bWxQSwUGAAAAAAYABgBZAQAAmQUAAAAA&#10;">
                <v:fill on="f" focussize="0,0"/>
                <v:stroke on="f"/>
                <v:imagedata o:title=""/>
                <o:lock v:ext="edit" aspectratio="f"/>
                <v:textbox inset="0mm,0mm,0mm,0mm" style="mso-fit-shape-to-text:t;">
                  <w:txbxContent>
                    <w:p w14:paraId="1D47C99A">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21" name="矩形 21"/>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1A1E19A5">
                            <w:pPr>
                              <w:rPr>
                                <w:sz w:val="20"/>
                              </w:rPr>
                            </w:pPr>
                            <w:r>
                              <w:rPr>
                                <w:rFonts w:hint="eastAsia" w:ascii="宋体" w:cs="宋体"/>
                                <w:bCs/>
                                <w:color w:val="000000"/>
                                <w:sz w:val="28"/>
                                <w:szCs w:val="30"/>
                              </w:rPr>
                              <w:t>(盖单位章处）</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63.4pt;margin-top:638.7pt;height:31.2pt;width:91.05pt;mso-position-horizontal-relative:char;mso-position-vertical-relative:line;mso-wrap-style:none;z-index:251664384;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2TtLZAAAADQEAAA8AAAAAAAAAAQAgAAAAIgAAAGRycy9kb3ducmV2LnhtbFBL&#10;AQIUABQAAAAIAIdO4kAXpgP/9QEAANUDAAAOAAAAAAAAAAEAIAAAACgBAABkcnMvZTJvRG9jLnht&#10;bFBLBQYAAAAABgAGAFkBAACPBQAAAAA=&#10;">
                <v:fill on="f" focussize="0,0"/>
                <v:stroke on="f"/>
                <v:imagedata o:title=""/>
                <o:lock v:ext="edit" aspectratio="f"/>
                <v:textbox inset="0mm,0mm,0mm,0mm" style="mso-fit-shape-to-text:t;">
                  <w:txbxContent>
                    <w:p w14:paraId="1A1E19A5">
                      <w:pPr>
                        <w:rPr>
                          <w:sz w:val="20"/>
                        </w:rPr>
                      </w:pPr>
                      <w:r>
                        <w:rPr>
                          <w:rFonts w:hint="eastAsia" w:ascii="宋体" w:cs="宋体"/>
                          <w:bCs/>
                          <w:color w:val="000000"/>
                          <w:sz w:val="28"/>
                          <w:szCs w:val="30"/>
                        </w:rPr>
                        <w:t>(盖单位章处）</w:t>
                      </w:r>
                    </w:p>
                  </w:txbxContent>
                </v:textbox>
              </v:rect>
            </w:pict>
          </mc:Fallback>
        </mc:AlternateContent>
      </w:r>
    </w:p>
    <w:p w14:paraId="34825970">
      <w:pPr>
        <w:rPr>
          <w:highlight w:val="none"/>
        </w:rPr>
      </w:pPr>
    </w:p>
    <w:p w14:paraId="7D7852C3">
      <w:pPr>
        <w:rPr>
          <w:highlight w:val="none"/>
        </w:rPr>
      </w:pPr>
    </w:p>
    <w:p w14:paraId="64BB1EBD">
      <w:pPr>
        <w:pStyle w:val="2"/>
        <w:rPr>
          <w:highlight w:val="none"/>
        </w:rPr>
      </w:pPr>
    </w:p>
    <w:p w14:paraId="1B9CD800">
      <w:pPr>
        <w:rPr>
          <w:highlight w:val="none"/>
        </w:rPr>
      </w:pPr>
    </w:p>
    <w:p w14:paraId="73517828">
      <w:pPr>
        <w:pStyle w:val="2"/>
        <w:rPr>
          <w:highlight w:val="none"/>
        </w:rPr>
      </w:pPr>
    </w:p>
    <w:p w14:paraId="05118F50">
      <w:pPr>
        <w:rPr>
          <w:highlight w:val="none"/>
        </w:rPr>
      </w:pPr>
    </w:p>
    <w:p w14:paraId="16504910">
      <w:pPr>
        <w:pStyle w:val="2"/>
        <w:rPr>
          <w:highlight w:val="none"/>
        </w:rPr>
      </w:pPr>
    </w:p>
    <w:p w14:paraId="15F509F5">
      <w:pPr>
        <w:pStyle w:val="2"/>
        <w:spacing w:before="0" w:after="0"/>
        <w:rPr>
          <w:highlight w:val="none"/>
        </w:rPr>
      </w:pPr>
    </w:p>
    <w:p w14:paraId="6D0029BC">
      <w:pPr>
        <w:rPr>
          <w:highlight w:val="none"/>
        </w:rPr>
      </w:pPr>
    </w:p>
    <w:p w14:paraId="3695B50D">
      <w:pPr>
        <w:pStyle w:val="2"/>
        <w:spacing w:before="0" w:after="0"/>
        <w:rPr>
          <w:highlight w:val="none"/>
        </w:rPr>
      </w:pPr>
    </w:p>
    <w:p w14:paraId="31CCD843">
      <w:pPr>
        <w:rPr>
          <w:highlight w:val="none"/>
        </w:rPr>
      </w:pPr>
    </w:p>
    <w:p w14:paraId="1EE9B9AD">
      <w:pPr>
        <w:pStyle w:val="2"/>
        <w:rPr>
          <w:highlight w:val="none"/>
        </w:rPr>
      </w:pPr>
    </w:p>
    <w:p w14:paraId="42D9C691">
      <w:pPr>
        <w:pStyle w:val="2"/>
        <w:rPr>
          <w:highlight w:val="none"/>
        </w:rPr>
      </w:pPr>
    </w:p>
    <w:p w14:paraId="26971C5F">
      <w:pPr>
        <w:rPr>
          <w:highlight w:val="none"/>
        </w:rPr>
      </w:pPr>
    </w:p>
    <w:p w14:paraId="74FAF4BC">
      <w:pPr>
        <w:pStyle w:val="2"/>
        <w:rPr>
          <w:highlight w:val="none"/>
        </w:rPr>
      </w:pPr>
    </w:p>
    <w:p w14:paraId="3A757CC4">
      <w:pPr>
        <w:rPr>
          <w:highlight w:val="none"/>
        </w:rPr>
      </w:pPr>
    </w:p>
    <w:p w14:paraId="195F455F">
      <w:pPr>
        <w:pStyle w:val="2"/>
        <w:rPr>
          <w:highlight w:val="none"/>
        </w:rPr>
      </w:pPr>
    </w:p>
    <w:p w14:paraId="58F73024">
      <w:pPr>
        <w:rPr>
          <w:highlight w:val="none"/>
        </w:rPr>
      </w:pPr>
    </w:p>
    <w:p w14:paraId="021AB9FB">
      <w:pPr>
        <w:rPr>
          <w:rFonts w:eastAsia="方正小标宋_GBK"/>
          <w:b/>
          <w:highlight w:val="none"/>
        </w:rPr>
      </w:pPr>
    </w:p>
    <w:p w14:paraId="453C4271">
      <w:pPr>
        <w:spacing w:line="600" w:lineRule="exact"/>
        <w:rPr>
          <w:rFonts w:ascii="方正小标宋_GBK" w:hAnsi="方正小标宋_GBK" w:eastAsia="方正小标宋_GBK" w:cs="方正小标宋_GBK"/>
          <w:sz w:val="44"/>
          <w:szCs w:val="4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C4EF60E-5A55-4680-8D22-9AA4B0FA2AF7}"/>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74CA50E-8165-4204-B835-0B74286D215B}"/>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CA3C0B8D-964E-4EDD-9D5B-E9A661B13890}"/>
  </w:font>
  <w:font w:name="瀹嬩綋">
    <w:altName w:val="yyb"/>
    <w:panose1 w:val="00000000000000000000"/>
    <w:charset w:val="00"/>
    <w:family w:val="auto"/>
    <w:pitch w:val="default"/>
    <w:sig w:usb0="00000000" w:usb1="00000000" w:usb2="00000000" w:usb3="00000000" w:csb0="00040001" w:csb1="00000000"/>
    <w:embedRegular r:id="rId4" w:fontKey="{9A5B6EAE-D954-43B6-98A6-31E2C2D9ABD9}"/>
  </w:font>
  <w:font w:name="yyb">
    <w:panose1 w:val="020B0200000000000000"/>
    <w:charset w:val="86"/>
    <w:family w:val="auto"/>
    <w:pitch w:val="default"/>
    <w:sig w:usb0="20000083" w:usb1="10000000" w:usb2="00000016" w:usb3="00000000" w:csb0="60060107" w:csb1="00000000"/>
  </w:font>
  <w:font w:name="方正小标宋_GBK">
    <w:panose1 w:val="03000509000000000000"/>
    <w:charset w:val="86"/>
    <w:family w:val="auto"/>
    <w:pitch w:val="default"/>
    <w:sig w:usb0="00000001" w:usb1="080E0000" w:usb2="00000000" w:usb3="00000000" w:csb0="00040000" w:csb1="00000000"/>
    <w:embedRegular r:id="rId5" w:fontKey="{45F865BC-E2B7-4621-964F-078D541FF2A7}"/>
  </w:font>
  <w:font w:name="等线 Light">
    <w:panose1 w:val="02010600030101010101"/>
    <w:charset w:val="86"/>
    <w:family w:val="auto"/>
    <w:pitch w:val="default"/>
    <w:sig w:usb0="A00002BF" w:usb1="38CF7CFA" w:usb2="00000016" w:usb3="00000000" w:csb0="0004000F" w:csb1="00000000"/>
    <w:embedRegular r:id="rId6" w:fontKey="{0EAD1C42-280C-4021-A583-C57A466C90F9}"/>
  </w:font>
  <w:font w:name="MingLiU">
    <w:altName w:val="PMingLiU-ExtB"/>
    <w:panose1 w:val="02020509000000000000"/>
    <w:charset w:val="88"/>
    <w:family w:val="modern"/>
    <w:pitch w:val="default"/>
    <w:sig w:usb0="00000000" w:usb1="00000000" w:usb2="00000016" w:usb3="00000000" w:csb0="00100001" w:csb1="00000000"/>
    <w:embedRegular r:id="rId7" w:fontKey="{7B4FDE5A-B3C6-481A-81EF-1667BAA16CDB}"/>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9FA4C">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4223B5">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0D4223B5">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7B8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9B4F73">
                          <w:pPr>
                            <w:pStyle w:val="9"/>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9B4F73">
                    <w:pPr>
                      <w:pStyle w:val="9"/>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2058C"/>
    <w:multiLevelType w:val="singleLevel"/>
    <w:tmpl w:val="E362058C"/>
    <w:lvl w:ilvl="0" w:tentative="0">
      <w:start w:val="1"/>
      <w:numFmt w:val="decimal"/>
      <w:suff w:val="nothing"/>
      <w:lvlText w:val="%1、"/>
      <w:lvlJc w:val="left"/>
    </w:lvl>
  </w:abstractNum>
  <w:abstractNum w:abstractNumId="1">
    <w:nsid w:val="00304DA4"/>
    <w:multiLevelType w:val="multilevel"/>
    <w:tmpl w:val="00304DA4"/>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1956"/>
        </w:tabs>
        <w:ind w:left="1956" w:hanging="680"/>
      </w:pPr>
      <w:rPr>
        <w:rFonts w:hint="eastAsia"/>
      </w:rPr>
    </w:lvl>
    <w:lvl w:ilvl="2" w:tentative="0">
      <w:start w:val="1"/>
      <w:numFmt w:val="decimal"/>
      <w:pStyle w:val="5"/>
      <w:lvlText w:val="%1.%2.%3"/>
      <w:lvlJc w:val="left"/>
      <w:pPr>
        <w:tabs>
          <w:tab w:val="left" w:pos="1260"/>
        </w:tabs>
        <w:ind w:left="-33" w:firstLine="573"/>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089F16"/>
    <w:multiLevelType w:val="singleLevel"/>
    <w:tmpl w:val="59089F1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YTBmNGYxMDZlMTIzYzk0Y2E4Y2M4ZTdiZGUxYjcifQ=="/>
  </w:docVars>
  <w:rsids>
    <w:rsidRoot w:val="68A742ED"/>
    <w:rsid w:val="0003707B"/>
    <w:rsid w:val="000615C6"/>
    <w:rsid w:val="00064284"/>
    <w:rsid w:val="00084EBD"/>
    <w:rsid w:val="00104531"/>
    <w:rsid w:val="001067B6"/>
    <w:rsid w:val="0015326E"/>
    <w:rsid w:val="001A0558"/>
    <w:rsid w:val="001A4C94"/>
    <w:rsid w:val="001B4A6B"/>
    <w:rsid w:val="001C3998"/>
    <w:rsid w:val="001D51CE"/>
    <w:rsid w:val="00230389"/>
    <w:rsid w:val="00234026"/>
    <w:rsid w:val="002506CC"/>
    <w:rsid w:val="0026290D"/>
    <w:rsid w:val="00293083"/>
    <w:rsid w:val="002B5B80"/>
    <w:rsid w:val="002C0004"/>
    <w:rsid w:val="002C1426"/>
    <w:rsid w:val="002D6B3D"/>
    <w:rsid w:val="002F72D0"/>
    <w:rsid w:val="00302204"/>
    <w:rsid w:val="00302DFA"/>
    <w:rsid w:val="00312AE8"/>
    <w:rsid w:val="003256B8"/>
    <w:rsid w:val="0033371E"/>
    <w:rsid w:val="00363CFF"/>
    <w:rsid w:val="003B5A90"/>
    <w:rsid w:val="003D2257"/>
    <w:rsid w:val="003D7A99"/>
    <w:rsid w:val="0041085C"/>
    <w:rsid w:val="00494257"/>
    <w:rsid w:val="004A2776"/>
    <w:rsid w:val="00517090"/>
    <w:rsid w:val="00555484"/>
    <w:rsid w:val="00580CE1"/>
    <w:rsid w:val="005904DB"/>
    <w:rsid w:val="005A5653"/>
    <w:rsid w:val="005D26F2"/>
    <w:rsid w:val="0061659B"/>
    <w:rsid w:val="00642532"/>
    <w:rsid w:val="00644A7B"/>
    <w:rsid w:val="0065398B"/>
    <w:rsid w:val="006B5FDD"/>
    <w:rsid w:val="006D3130"/>
    <w:rsid w:val="00711B6E"/>
    <w:rsid w:val="00717606"/>
    <w:rsid w:val="00721B7D"/>
    <w:rsid w:val="00751510"/>
    <w:rsid w:val="007674FF"/>
    <w:rsid w:val="00862EE4"/>
    <w:rsid w:val="008634E6"/>
    <w:rsid w:val="00876320"/>
    <w:rsid w:val="0088518A"/>
    <w:rsid w:val="00886AD1"/>
    <w:rsid w:val="00891A11"/>
    <w:rsid w:val="008D5166"/>
    <w:rsid w:val="008E173F"/>
    <w:rsid w:val="008F21C6"/>
    <w:rsid w:val="00907B3A"/>
    <w:rsid w:val="009279F9"/>
    <w:rsid w:val="00933359"/>
    <w:rsid w:val="00984387"/>
    <w:rsid w:val="009A6C7A"/>
    <w:rsid w:val="00A15701"/>
    <w:rsid w:val="00A43E24"/>
    <w:rsid w:val="00A9743B"/>
    <w:rsid w:val="00AB31DA"/>
    <w:rsid w:val="00C15696"/>
    <w:rsid w:val="00C81E08"/>
    <w:rsid w:val="00CA62D2"/>
    <w:rsid w:val="00DB3B0E"/>
    <w:rsid w:val="00E003A9"/>
    <w:rsid w:val="00E550E4"/>
    <w:rsid w:val="00E568FE"/>
    <w:rsid w:val="00E6293E"/>
    <w:rsid w:val="00E7207B"/>
    <w:rsid w:val="00E97837"/>
    <w:rsid w:val="00F11DFF"/>
    <w:rsid w:val="00F32CCF"/>
    <w:rsid w:val="00F6015C"/>
    <w:rsid w:val="00F675B4"/>
    <w:rsid w:val="010351AA"/>
    <w:rsid w:val="020236B3"/>
    <w:rsid w:val="02501F5F"/>
    <w:rsid w:val="02F27732"/>
    <w:rsid w:val="03287A05"/>
    <w:rsid w:val="038C36E0"/>
    <w:rsid w:val="03DD59CA"/>
    <w:rsid w:val="044F726B"/>
    <w:rsid w:val="04912ACD"/>
    <w:rsid w:val="04D03646"/>
    <w:rsid w:val="05AF0F65"/>
    <w:rsid w:val="05BF2AA5"/>
    <w:rsid w:val="05D07BB4"/>
    <w:rsid w:val="05F952FF"/>
    <w:rsid w:val="060A5E1C"/>
    <w:rsid w:val="0665615E"/>
    <w:rsid w:val="06782AA7"/>
    <w:rsid w:val="07110764"/>
    <w:rsid w:val="07375BAD"/>
    <w:rsid w:val="07F95559"/>
    <w:rsid w:val="09875BCB"/>
    <w:rsid w:val="09CC5391"/>
    <w:rsid w:val="09DD7029"/>
    <w:rsid w:val="0A281360"/>
    <w:rsid w:val="0A892BC4"/>
    <w:rsid w:val="0A8C67EC"/>
    <w:rsid w:val="0AC04A3C"/>
    <w:rsid w:val="0B5360BD"/>
    <w:rsid w:val="0B9B577E"/>
    <w:rsid w:val="0C152235"/>
    <w:rsid w:val="0CC4006B"/>
    <w:rsid w:val="0D0122B8"/>
    <w:rsid w:val="0D166265"/>
    <w:rsid w:val="0D1F49F2"/>
    <w:rsid w:val="0D305579"/>
    <w:rsid w:val="0D6467C2"/>
    <w:rsid w:val="0DD358E2"/>
    <w:rsid w:val="0E254470"/>
    <w:rsid w:val="0E812E3C"/>
    <w:rsid w:val="0EF80318"/>
    <w:rsid w:val="0F68324F"/>
    <w:rsid w:val="0FE211EF"/>
    <w:rsid w:val="117143B2"/>
    <w:rsid w:val="12B972A7"/>
    <w:rsid w:val="135E2154"/>
    <w:rsid w:val="13634C66"/>
    <w:rsid w:val="13C30D13"/>
    <w:rsid w:val="13C65187"/>
    <w:rsid w:val="13D80718"/>
    <w:rsid w:val="13EF728A"/>
    <w:rsid w:val="13F77976"/>
    <w:rsid w:val="141F23D7"/>
    <w:rsid w:val="1421015B"/>
    <w:rsid w:val="14583ECE"/>
    <w:rsid w:val="15D60D6C"/>
    <w:rsid w:val="165C73DE"/>
    <w:rsid w:val="16BA4648"/>
    <w:rsid w:val="16C77D52"/>
    <w:rsid w:val="172D4BCE"/>
    <w:rsid w:val="173E6195"/>
    <w:rsid w:val="184425A3"/>
    <w:rsid w:val="186928F2"/>
    <w:rsid w:val="193F49AE"/>
    <w:rsid w:val="1A5C400C"/>
    <w:rsid w:val="1A922FF5"/>
    <w:rsid w:val="1B0C5787"/>
    <w:rsid w:val="1B260CB8"/>
    <w:rsid w:val="1B282302"/>
    <w:rsid w:val="1B6B3730"/>
    <w:rsid w:val="1BB7319C"/>
    <w:rsid w:val="1BF260EF"/>
    <w:rsid w:val="1CF5767F"/>
    <w:rsid w:val="1D200111"/>
    <w:rsid w:val="1D4B6290"/>
    <w:rsid w:val="1D5F099D"/>
    <w:rsid w:val="1DE101C9"/>
    <w:rsid w:val="1DED6B6E"/>
    <w:rsid w:val="1E2B1D8D"/>
    <w:rsid w:val="1EFD7CAF"/>
    <w:rsid w:val="1F160197"/>
    <w:rsid w:val="1F271888"/>
    <w:rsid w:val="208A4B48"/>
    <w:rsid w:val="2094049D"/>
    <w:rsid w:val="20AB56FA"/>
    <w:rsid w:val="20C447B2"/>
    <w:rsid w:val="219519F6"/>
    <w:rsid w:val="21BD635B"/>
    <w:rsid w:val="21F9728C"/>
    <w:rsid w:val="221A41EC"/>
    <w:rsid w:val="22895C12"/>
    <w:rsid w:val="23900771"/>
    <w:rsid w:val="23CF07F7"/>
    <w:rsid w:val="23E0603D"/>
    <w:rsid w:val="23FE012A"/>
    <w:rsid w:val="242B106E"/>
    <w:rsid w:val="24536911"/>
    <w:rsid w:val="24FF149C"/>
    <w:rsid w:val="250550E5"/>
    <w:rsid w:val="250D077C"/>
    <w:rsid w:val="25A31138"/>
    <w:rsid w:val="25F82421"/>
    <w:rsid w:val="261D6FC9"/>
    <w:rsid w:val="266C2A1D"/>
    <w:rsid w:val="26C93993"/>
    <w:rsid w:val="26F0393C"/>
    <w:rsid w:val="2786566E"/>
    <w:rsid w:val="28EC13C8"/>
    <w:rsid w:val="295924DC"/>
    <w:rsid w:val="299D7862"/>
    <w:rsid w:val="29A04919"/>
    <w:rsid w:val="2A111A8E"/>
    <w:rsid w:val="2AAF2F9E"/>
    <w:rsid w:val="2B8B4989"/>
    <w:rsid w:val="2BF71253"/>
    <w:rsid w:val="2C737893"/>
    <w:rsid w:val="2C7768C8"/>
    <w:rsid w:val="2CDA0954"/>
    <w:rsid w:val="2CE73BAC"/>
    <w:rsid w:val="2E146CE4"/>
    <w:rsid w:val="2E5E3A03"/>
    <w:rsid w:val="2E7A444E"/>
    <w:rsid w:val="2F9E216B"/>
    <w:rsid w:val="30A6152A"/>
    <w:rsid w:val="30E339BF"/>
    <w:rsid w:val="31123DDF"/>
    <w:rsid w:val="31FC0F6B"/>
    <w:rsid w:val="322F416D"/>
    <w:rsid w:val="32443888"/>
    <w:rsid w:val="33527747"/>
    <w:rsid w:val="33DD249D"/>
    <w:rsid w:val="34C54C16"/>
    <w:rsid w:val="357F059C"/>
    <w:rsid w:val="378A3CA1"/>
    <w:rsid w:val="37C65C94"/>
    <w:rsid w:val="39202F72"/>
    <w:rsid w:val="399272E0"/>
    <w:rsid w:val="39E44101"/>
    <w:rsid w:val="3A17366D"/>
    <w:rsid w:val="3A1A6AE5"/>
    <w:rsid w:val="3A992100"/>
    <w:rsid w:val="3AB63C54"/>
    <w:rsid w:val="3ADB40A8"/>
    <w:rsid w:val="3AE342BF"/>
    <w:rsid w:val="3B6D0B14"/>
    <w:rsid w:val="3B8F5C93"/>
    <w:rsid w:val="3BB11559"/>
    <w:rsid w:val="3BB15CD8"/>
    <w:rsid w:val="3C0E4427"/>
    <w:rsid w:val="3C2D358A"/>
    <w:rsid w:val="3C3200F7"/>
    <w:rsid w:val="3C3F781F"/>
    <w:rsid w:val="3C7852AB"/>
    <w:rsid w:val="3C8A2C04"/>
    <w:rsid w:val="3C96489D"/>
    <w:rsid w:val="3D2077F2"/>
    <w:rsid w:val="3D4075C2"/>
    <w:rsid w:val="3E2D78C5"/>
    <w:rsid w:val="3E7E25C9"/>
    <w:rsid w:val="3E9B4698"/>
    <w:rsid w:val="3EB07A18"/>
    <w:rsid w:val="3EDB718F"/>
    <w:rsid w:val="3F0329B7"/>
    <w:rsid w:val="3F0355EF"/>
    <w:rsid w:val="3F604465"/>
    <w:rsid w:val="3F767786"/>
    <w:rsid w:val="3FD339BE"/>
    <w:rsid w:val="40B74C12"/>
    <w:rsid w:val="40CF3720"/>
    <w:rsid w:val="41C95047"/>
    <w:rsid w:val="42764AD5"/>
    <w:rsid w:val="42853DB6"/>
    <w:rsid w:val="42E34ECB"/>
    <w:rsid w:val="4314120B"/>
    <w:rsid w:val="43495404"/>
    <w:rsid w:val="437C555D"/>
    <w:rsid w:val="439231BA"/>
    <w:rsid w:val="43D47D05"/>
    <w:rsid w:val="43E52802"/>
    <w:rsid w:val="44077CFF"/>
    <w:rsid w:val="443770F1"/>
    <w:rsid w:val="449F2519"/>
    <w:rsid w:val="45047207"/>
    <w:rsid w:val="45062140"/>
    <w:rsid w:val="451568D9"/>
    <w:rsid w:val="45A544FF"/>
    <w:rsid w:val="45F47BB0"/>
    <w:rsid w:val="460D33F5"/>
    <w:rsid w:val="46D63D94"/>
    <w:rsid w:val="46F7281D"/>
    <w:rsid w:val="473A0C45"/>
    <w:rsid w:val="48BC699F"/>
    <w:rsid w:val="48C42928"/>
    <w:rsid w:val="490F1F22"/>
    <w:rsid w:val="49AD66E2"/>
    <w:rsid w:val="4A3774BC"/>
    <w:rsid w:val="4A8F4638"/>
    <w:rsid w:val="4AA04A4A"/>
    <w:rsid w:val="4ABD14F2"/>
    <w:rsid w:val="4B366095"/>
    <w:rsid w:val="4B736325"/>
    <w:rsid w:val="4B754BD1"/>
    <w:rsid w:val="4B8A6F82"/>
    <w:rsid w:val="4BD424DD"/>
    <w:rsid w:val="4C311EAE"/>
    <w:rsid w:val="4C7D5FFD"/>
    <w:rsid w:val="4CF431C6"/>
    <w:rsid w:val="4D680D9C"/>
    <w:rsid w:val="4D987FF5"/>
    <w:rsid w:val="4DE3729B"/>
    <w:rsid w:val="4E527AA9"/>
    <w:rsid w:val="4E543ADC"/>
    <w:rsid w:val="4E7E0421"/>
    <w:rsid w:val="4EE91049"/>
    <w:rsid w:val="4F6C798B"/>
    <w:rsid w:val="4FC26B2F"/>
    <w:rsid w:val="500D0FC6"/>
    <w:rsid w:val="505D2565"/>
    <w:rsid w:val="50CB1434"/>
    <w:rsid w:val="51884169"/>
    <w:rsid w:val="518B3EE0"/>
    <w:rsid w:val="519A2F38"/>
    <w:rsid w:val="519C19B8"/>
    <w:rsid w:val="521F2DEA"/>
    <w:rsid w:val="523F4EE3"/>
    <w:rsid w:val="524B6284"/>
    <w:rsid w:val="52C36DF2"/>
    <w:rsid w:val="52E30036"/>
    <w:rsid w:val="547E17AB"/>
    <w:rsid w:val="554C1DF1"/>
    <w:rsid w:val="55A03EEB"/>
    <w:rsid w:val="55BC0A37"/>
    <w:rsid w:val="55D1777E"/>
    <w:rsid w:val="5627107A"/>
    <w:rsid w:val="56293EE0"/>
    <w:rsid w:val="566C22F1"/>
    <w:rsid w:val="56B168E8"/>
    <w:rsid w:val="56DD05C3"/>
    <w:rsid w:val="56E602DF"/>
    <w:rsid w:val="57080FDC"/>
    <w:rsid w:val="57206E9F"/>
    <w:rsid w:val="575235E3"/>
    <w:rsid w:val="57A03417"/>
    <w:rsid w:val="58B150BD"/>
    <w:rsid w:val="591453B6"/>
    <w:rsid w:val="596E58C2"/>
    <w:rsid w:val="598E19C2"/>
    <w:rsid w:val="59C36EC4"/>
    <w:rsid w:val="59E9009D"/>
    <w:rsid w:val="5A105AE3"/>
    <w:rsid w:val="5A7822AE"/>
    <w:rsid w:val="5B487FA2"/>
    <w:rsid w:val="5B975130"/>
    <w:rsid w:val="5B9F2500"/>
    <w:rsid w:val="5BFE6852"/>
    <w:rsid w:val="5CC0409F"/>
    <w:rsid w:val="5D351013"/>
    <w:rsid w:val="5DEE2193"/>
    <w:rsid w:val="5DF95E03"/>
    <w:rsid w:val="5E0A45F7"/>
    <w:rsid w:val="5E8B0EE0"/>
    <w:rsid w:val="5EAF3CBE"/>
    <w:rsid w:val="5F0E02C2"/>
    <w:rsid w:val="5F4A288F"/>
    <w:rsid w:val="5F761CA9"/>
    <w:rsid w:val="5FE4292A"/>
    <w:rsid w:val="600F5B5A"/>
    <w:rsid w:val="60530026"/>
    <w:rsid w:val="60B63178"/>
    <w:rsid w:val="60F61415"/>
    <w:rsid w:val="60FE3BF7"/>
    <w:rsid w:val="6135668D"/>
    <w:rsid w:val="615A3487"/>
    <w:rsid w:val="61646714"/>
    <w:rsid w:val="61C77D88"/>
    <w:rsid w:val="61D727BB"/>
    <w:rsid w:val="62481B92"/>
    <w:rsid w:val="62F71F9F"/>
    <w:rsid w:val="62FD190F"/>
    <w:rsid w:val="630E5E3C"/>
    <w:rsid w:val="64EE4C72"/>
    <w:rsid w:val="64F80F1C"/>
    <w:rsid w:val="65493C57"/>
    <w:rsid w:val="65670581"/>
    <w:rsid w:val="658729E9"/>
    <w:rsid w:val="658C69B3"/>
    <w:rsid w:val="65DF2256"/>
    <w:rsid w:val="66442B66"/>
    <w:rsid w:val="665E1CDF"/>
    <w:rsid w:val="666F61BC"/>
    <w:rsid w:val="66B160AF"/>
    <w:rsid w:val="66BC11B0"/>
    <w:rsid w:val="66C26551"/>
    <w:rsid w:val="677D6BB4"/>
    <w:rsid w:val="67B61A25"/>
    <w:rsid w:val="67F21BCA"/>
    <w:rsid w:val="6831015F"/>
    <w:rsid w:val="68A742ED"/>
    <w:rsid w:val="69307536"/>
    <w:rsid w:val="69AB6013"/>
    <w:rsid w:val="6A5D1F52"/>
    <w:rsid w:val="6AA325C6"/>
    <w:rsid w:val="6ABD5915"/>
    <w:rsid w:val="6AD14C5D"/>
    <w:rsid w:val="6AD16ECB"/>
    <w:rsid w:val="6B6D4938"/>
    <w:rsid w:val="6BEA3CBA"/>
    <w:rsid w:val="6C9875EB"/>
    <w:rsid w:val="6CE857BB"/>
    <w:rsid w:val="6D487FBF"/>
    <w:rsid w:val="6ECE1671"/>
    <w:rsid w:val="6F3D1ED1"/>
    <w:rsid w:val="6F7F2EDB"/>
    <w:rsid w:val="6FA77336"/>
    <w:rsid w:val="6FE37B42"/>
    <w:rsid w:val="6FF43359"/>
    <w:rsid w:val="71270EF9"/>
    <w:rsid w:val="714F5A00"/>
    <w:rsid w:val="71D11311"/>
    <w:rsid w:val="71E11657"/>
    <w:rsid w:val="72051137"/>
    <w:rsid w:val="72267A92"/>
    <w:rsid w:val="729048C2"/>
    <w:rsid w:val="72CF0C68"/>
    <w:rsid w:val="72D37A76"/>
    <w:rsid w:val="73154367"/>
    <w:rsid w:val="73354FBC"/>
    <w:rsid w:val="737E6395"/>
    <w:rsid w:val="73BB5A93"/>
    <w:rsid w:val="73BC5F3C"/>
    <w:rsid w:val="73F531FC"/>
    <w:rsid w:val="74CA4688"/>
    <w:rsid w:val="74F848D0"/>
    <w:rsid w:val="753A5262"/>
    <w:rsid w:val="753C37D8"/>
    <w:rsid w:val="75C02056"/>
    <w:rsid w:val="76481D09"/>
    <w:rsid w:val="76A333E3"/>
    <w:rsid w:val="76FD2AF3"/>
    <w:rsid w:val="772A242E"/>
    <w:rsid w:val="773A2E3A"/>
    <w:rsid w:val="77AB7500"/>
    <w:rsid w:val="77AC629B"/>
    <w:rsid w:val="78183A77"/>
    <w:rsid w:val="797D3DA6"/>
    <w:rsid w:val="798E097C"/>
    <w:rsid w:val="7A523181"/>
    <w:rsid w:val="7AA15E8B"/>
    <w:rsid w:val="7AE1630E"/>
    <w:rsid w:val="7B2A672C"/>
    <w:rsid w:val="7B9A7CF7"/>
    <w:rsid w:val="7BB63D44"/>
    <w:rsid w:val="7BDD1B24"/>
    <w:rsid w:val="7BFE1CB4"/>
    <w:rsid w:val="7C712E7B"/>
    <w:rsid w:val="7CA83A23"/>
    <w:rsid w:val="7CE94BB0"/>
    <w:rsid w:val="7D2863F0"/>
    <w:rsid w:val="7D4C4563"/>
    <w:rsid w:val="7DD354D7"/>
    <w:rsid w:val="7DF20320"/>
    <w:rsid w:val="7DF311DF"/>
    <w:rsid w:val="7E37267B"/>
    <w:rsid w:val="7E520CE5"/>
    <w:rsid w:val="7F5C54A1"/>
    <w:rsid w:val="DFEBE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0"/>
    <w:pPr>
      <w:keepNext/>
      <w:keepLines/>
      <w:numPr>
        <w:ilvl w:val="2"/>
        <w:numId w:val="1"/>
      </w:numPr>
      <w:spacing w:line="360" w:lineRule="auto"/>
      <w:outlineLvl w:val="2"/>
    </w:pPr>
    <w:rPr>
      <w:rFonts w:eastAsia="仿宋_GB2312"/>
      <w:bCs/>
      <w:sz w:val="28"/>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1"/>
    <w:qFormat/>
    <w:uiPriority w:val="10"/>
    <w:pPr>
      <w:spacing w:before="240" w:after="60"/>
      <w:outlineLvl w:val="0"/>
    </w:pPr>
    <w:rPr>
      <w:rFonts w:ascii="Arial" w:hAnsi="Arial" w:cs="Arial"/>
      <w:b/>
      <w:bCs/>
      <w:sz w:val="32"/>
      <w:szCs w:val="32"/>
    </w:rPr>
  </w:style>
  <w:style w:type="paragraph" w:styleId="6">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7">
    <w:name w:val="annotation text"/>
    <w:basedOn w:val="1"/>
    <w:link w:val="20"/>
    <w:qFormat/>
    <w:uiPriority w:val="99"/>
    <w:pPr>
      <w:jc w:val="left"/>
    </w:pPr>
  </w:style>
  <w:style w:type="paragraph" w:styleId="8">
    <w:name w:val="Body Text"/>
    <w:basedOn w:val="1"/>
    <w:next w:val="1"/>
    <w:qFormat/>
    <w:uiPriority w:val="0"/>
    <w:rPr>
      <w:sz w:val="26"/>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3"/>
    <w:next w:val="1"/>
    <w:unhideWhenUsed/>
    <w:qFormat/>
    <w:uiPriority w:val="39"/>
    <w:pPr>
      <w:tabs>
        <w:tab w:val="right" w:leader="dot" w:pos="8302"/>
      </w:tabs>
      <w:jc w:val="center"/>
    </w:pPr>
    <w:rPr>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annotation subject"/>
    <w:basedOn w:val="7"/>
    <w:next w:val="7"/>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批注文字 Char"/>
    <w:basedOn w:val="16"/>
    <w:link w:val="7"/>
    <w:qFormat/>
    <w:uiPriority w:val="99"/>
    <w:rPr>
      <w:kern w:val="2"/>
      <w:sz w:val="21"/>
      <w:szCs w:val="24"/>
    </w:rPr>
  </w:style>
  <w:style w:type="character" w:customStyle="1" w:styleId="21">
    <w:name w:val="标题 Char"/>
    <w:basedOn w:val="16"/>
    <w:link w:val="2"/>
    <w:qFormat/>
    <w:uiPriority w:val="0"/>
    <w:rPr>
      <w:rFonts w:ascii="Calibri Light" w:hAnsi="Calibri Light" w:eastAsia="宋体" w:cs="Times New Roman"/>
      <w:b/>
      <w:bCs/>
      <w:kern w:val="2"/>
      <w:sz w:val="32"/>
      <w:szCs w:val="32"/>
    </w:rPr>
  </w:style>
  <w:style w:type="character" w:customStyle="1" w:styleId="22">
    <w:name w:val="批注主题 Char"/>
    <w:basedOn w:val="20"/>
    <w:link w:val="13"/>
    <w:qFormat/>
    <w:uiPriority w:val="0"/>
    <w:rPr>
      <w:b/>
      <w:bCs/>
      <w:kern w:val="2"/>
      <w:sz w:val="21"/>
      <w:szCs w:val="24"/>
    </w:rPr>
  </w:style>
  <w:style w:type="paragraph" w:customStyle="1" w:styleId="23">
    <w:name w:val="List Paragraph1"/>
    <w:basedOn w:val="1"/>
    <w:qFormat/>
    <w:uiPriority w:val="0"/>
    <w:pPr>
      <w:ind w:firstLine="420" w:firstLineChars="200"/>
    </w:pPr>
  </w:style>
  <w:style w:type="paragraph" w:customStyle="1" w:styleId="24">
    <w:name w:val="列出段落1"/>
    <w:basedOn w:val="1"/>
    <w:qFormat/>
    <w:uiPriority w:val="0"/>
    <w:rPr>
      <w:szCs w:val="20"/>
    </w:rPr>
  </w:style>
  <w:style w:type="paragraph" w:customStyle="1" w:styleId="25">
    <w:name w:val="default"/>
    <w:basedOn w:val="1"/>
    <w:qFormat/>
    <w:uiPriority w:val="0"/>
    <w:pPr>
      <w:widowControl/>
      <w:spacing w:line="360" w:lineRule="auto"/>
      <w:jc w:val="left"/>
    </w:pPr>
    <w:rPr>
      <w:rFonts w:ascii="Arial" w:hAnsi="Arial" w:cs="Arial"/>
      <w:kern w:val="0"/>
      <w:sz w:val="20"/>
    </w:rPr>
  </w:style>
  <w:style w:type="paragraph" w:customStyle="1" w:styleId="26">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customStyle="1" w:styleId="27">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28">
    <w:name w:val="List Paragraph"/>
    <w:basedOn w:val="1"/>
    <w:qFormat/>
    <w:uiPriority w:val="34"/>
    <w:pPr>
      <w:ind w:firstLine="420" w:firstLineChars="200"/>
    </w:pPr>
  </w:style>
  <w:style w:type="character" w:customStyle="1" w:styleId="29">
    <w:name w:val="font161"/>
    <w:basedOn w:val="16"/>
    <w:qFormat/>
    <w:uiPriority w:val="0"/>
    <w:rPr>
      <w:rFonts w:hint="eastAsia" w:ascii="方正黑体_GBK" w:hAnsi="方正黑体_GBK" w:eastAsia="方正黑体_GBK" w:cs="方正黑体_GBK"/>
      <w:color w:val="000000"/>
      <w:sz w:val="28"/>
      <w:szCs w:val="28"/>
      <w:u w:val="none"/>
    </w:rPr>
  </w:style>
  <w:style w:type="paragraph" w:customStyle="1" w:styleId="30">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11608</Words>
  <Characters>12236</Characters>
  <Lines>100</Lines>
  <Paragraphs>28</Paragraphs>
  <TotalTime>27</TotalTime>
  <ScaleCrop>false</ScaleCrop>
  <LinksUpToDate>false</LinksUpToDate>
  <CharactersWithSpaces>12343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2023-10-15T23:22:00Z</dcterms:created>
  <dc:creator>喻诗淇</dc:creator>
  <cp:lastModifiedBy>凉城已·无爱</cp:lastModifiedBy>
  <cp:lastPrinted>2026-06-15T07:10:00Z</cp:lastPrinted>
  <dcterms:modified xsi:type="dcterms:W3CDTF">2026-06-16T07:21:52Z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D28817AF10DA47FC91D0D21A87EA3F85_13</vt:lpwstr>
  </property>
  <property fmtid="{D5CDD505-2E9C-101B-9397-08002B2CF9AE}" pid="4" name="KSOTemplateDocerSaveRecord">
    <vt:lpwstr>eyJoZGlkIjoiMWQ4YTM2NDQwNGViOGJkYzAwZDJiZjY2NGVmZGZiNDciLCJ1c2VySWQiOiIyOTgxNTM1OTgifQ==</vt:lpwstr>
  </property>
</Properties>
</file>