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B775B">
      <w:pPr>
        <w:pStyle w:val="2"/>
        <w:rPr>
          <w:highlight w:val="none"/>
        </w:rPr>
      </w:pPr>
    </w:p>
    <w:p w14:paraId="347999D7">
      <w:pPr>
        <w:pStyle w:val="8"/>
        <w:jc w:val="center"/>
        <w:rPr>
          <w:rFonts w:ascii="宋体" w:hAnsi="宋体"/>
          <w:kern w:val="0"/>
          <w:sz w:val="32"/>
          <w:szCs w:val="32"/>
          <w:highlight w:val="none"/>
        </w:rPr>
      </w:pPr>
    </w:p>
    <w:p w14:paraId="64C9BB53">
      <w:pPr>
        <w:pStyle w:val="8"/>
        <w:jc w:val="center"/>
        <w:rPr>
          <w:rFonts w:hint="eastAsia" w:ascii="宋体" w:hAnsi="宋体" w:eastAsia="宋体"/>
          <w:kern w:val="0"/>
          <w:sz w:val="32"/>
          <w:szCs w:val="32"/>
          <w:highlight w:val="none"/>
          <w:lang w:val="en-US" w:eastAsia="zh-CN"/>
        </w:rPr>
      </w:pPr>
      <w:r>
        <w:rPr>
          <w:rFonts w:hint="eastAsia" w:ascii="宋体" w:hAnsi="宋体"/>
          <w:kern w:val="0"/>
          <w:sz w:val="32"/>
          <w:szCs w:val="32"/>
          <w:highlight w:val="none"/>
        </w:rPr>
        <w:t>项目名称：</w:t>
      </w:r>
      <w:r>
        <w:rPr>
          <w:rFonts w:hint="eastAsia" w:ascii="宋体" w:hAnsi="宋体"/>
          <w:kern w:val="0"/>
          <w:sz w:val="32"/>
          <w:szCs w:val="32"/>
          <w:highlight w:val="none"/>
          <w:lang w:val="en-US" w:eastAsia="zh-CN"/>
        </w:rPr>
        <w:t>阿依河景区重要节点艺术装置及展陈提升EPC工程</w:t>
      </w:r>
    </w:p>
    <w:p w14:paraId="55BE7ABA">
      <w:pPr>
        <w:autoSpaceDE w:val="0"/>
        <w:autoSpaceDN w:val="0"/>
        <w:adjustRightInd w:val="0"/>
        <w:snapToGrid w:val="0"/>
        <w:spacing w:line="360" w:lineRule="auto"/>
        <w:jc w:val="left"/>
        <w:rPr>
          <w:rFonts w:ascii="宋体" w:hAnsi="宋体"/>
          <w:kern w:val="0"/>
          <w:sz w:val="20"/>
          <w:szCs w:val="20"/>
          <w:highlight w:val="none"/>
        </w:rPr>
      </w:pPr>
    </w:p>
    <w:p w14:paraId="2179E996">
      <w:pPr>
        <w:autoSpaceDE w:val="0"/>
        <w:autoSpaceDN w:val="0"/>
        <w:adjustRightInd w:val="0"/>
        <w:snapToGrid w:val="0"/>
        <w:spacing w:line="360" w:lineRule="auto"/>
        <w:jc w:val="left"/>
        <w:rPr>
          <w:rFonts w:ascii="宋体" w:hAnsi="宋体"/>
          <w:kern w:val="0"/>
          <w:sz w:val="20"/>
          <w:szCs w:val="20"/>
          <w:highlight w:val="none"/>
        </w:rPr>
      </w:pPr>
    </w:p>
    <w:p w14:paraId="08088C13">
      <w:pPr>
        <w:pStyle w:val="2"/>
        <w:rPr>
          <w:rFonts w:ascii="宋体" w:hAnsi="宋体"/>
          <w:kern w:val="0"/>
          <w:sz w:val="20"/>
          <w:szCs w:val="20"/>
          <w:highlight w:val="none"/>
        </w:rPr>
      </w:pPr>
    </w:p>
    <w:p w14:paraId="453BAF84">
      <w:pPr>
        <w:rPr>
          <w:rFonts w:ascii="宋体" w:hAnsi="宋体"/>
          <w:kern w:val="0"/>
          <w:sz w:val="20"/>
          <w:szCs w:val="20"/>
          <w:highlight w:val="none"/>
        </w:rPr>
      </w:pPr>
    </w:p>
    <w:p w14:paraId="715CDCE2">
      <w:pPr>
        <w:pStyle w:val="2"/>
        <w:rPr>
          <w:rFonts w:ascii="宋体" w:hAnsi="宋体"/>
          <w:kern w:val="0"/>
          <w:sz w:val="20"/>
          <w:szCs w:val="20"/>
          <w:highlight w:val="none"/>
        </w:rPr>
      </w:pPr>
    </w:p>
    <w:p w14:paraId="78B9C73C">
      <w:pPr>
        <w:rPr>
          <w:highlight w:val="none"/>
        </w:rPr>
      </w:pPr>
    </w:p>
    <w:p w14:paraId="3D011B33">
      <w:pPr>
        <w:autoSpaceDE w:val="0"/>
        <w:autoSpaceDN w:val="0"/>
        <w:adjustRightInd w:val="0"/>
        <w:snapToGrid w:val="0"/>
        <w:spacing w:line="360" w:lineRule="auto"/>
        <w:jc w:val="left"/>
        <w:rPr>
          <w:rFonts w:ascii="宋体" w:hAnsi="宋体"/>
          <w:kern w:val="0"/>
          <w:sz w:val="20"/>
          <w:szCs w:val="20"/>
          <w:highlight w:val="none"/>
        </w:rPr>
      </w:pPr>
    </w:p>
    <w:p w14:paraId="4A2517C6">
      <w:pPr>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 xml:space="preserve">比 选 </w:t>
      </w:r>
      <w:r>
        <w:rPr>
          <w:rFonts w:ascii="宋体" w:hAnsi="宋体"/>
          <w:kern w:val="0"/>
          <w:sz w:val="72"/>
          <w:szCs w:val="72"/>
          <w:highlight w:val="none"/>
        </w:rPr>
        <w:t>文</w:t>
      </w:r>
      <w:r>
        <w:rPr>
          <w:rFonts w:hint="eastAsia" w:ascii="宋体" w:hAnsi="宋体"/>
          <w:kern w:val="0"/>
          <w:sz w:val="72"/>
          <w:szCs w:val="72"/>
          <w:highlight w:val="none"/>
        </w:rPr>
        <w:t xml:space="preserve"> </w:t>
      </w:r>
      <w:r>
        <w:rPr>
          <w:rFonts w:ascii="宋体" w:hAnsi="宋体"/>
          <w:kern w:val="0"/>
          <w:sz w:val="72"/>
          <w:szCs w:val="72"/>
          <w:highlight w:val="none"/>
        </w:rPr>
        <w:t>件</w:t>
      </w:r>
    </w:p>
    <w:p w14:paraId="04E05546">
      <w:pPr>
        <w:autoSpaceDE w:val="0"/>
        <w:autoSpaceDN w:val="0"/>
        <w:adjustRightInd w:val="0"/>
        <w:snapToGrid w:val="0"/>
        <w:spacing w:line="360" w:lineRule="auto"/>
        <w:jc w:val="left"/>
        <w:rPr>
          <w:rFonts w:ascii="宋体" w:hAnsi="宋体"/>
          <w:kern w:val="0"/>
          <w:sz w:val="10"/>
          <w:szCs w:val="10"/>
          <w:highlight w:val="none"/>
        </w:rPr>
      </w:pPr>
    </w:p>
    <w:p w14:paraId="424C3A5B">
      <w:pPr>
        <w:autoSpaceDE w:val="0"/>
        <w:autoSpaceDN w:val="0"/>
        <w:adjustRightInd w:val="0"/>
        <w:snapToGrid w:val="0"/>
        <w:spacing w:line="360" w:lineRule="auto"/>
        <w:jc w:val="center"/>
        <w:rPr>
          <w:rFonts w:ascii="宋体" w:hAnsi="宋体"/>
          <w:kern w:val="0"/>
          <w:sz w:val="20"/>
          <w:szCs w:val="20"/>
          <w:highlight w:val="none"/>
        </w:rPr>
      </w:pPr>
    </w:p>
    <w:p w14:paraId="368A75F6">
      <w:pPr>
        <w:autoSpaceDE w:val="0"/>
        <w:autoSpaceDN w:val="0"/>
        <w:adjustRightInd w:val="0"/>
        <w:snapToGrid w:val="0"/>
        <w:spacing w:line="360" w:lineRule="auto"/>
        <w:jc w:val="left"/>
        <w:rPr>
          <w:rFonts w:ascii="宋体" w:hAnsi="宋体"/>
          <w:kern w:val="0"/>
          <w:sz w:val="20"/>
          <w:szCs w:val="20"/>
          <w:highlight w:val="none"/>
        </w:rPr>
      </w:pPr>
    </w:p>
    <w:p w14:paraId="2667A47B">
      <w:pPr>
        <w:autoSpaceDE w:val="0"/>
        <w:autoSpaceDN w:val="0"/>
        <w:adjustRightInd w:val="0"/>
        <w:snapToGrid w:val="0"/>
        <w:spacing w:line="360" w:lineRule="auto"/>
        <w:jc w:val="left"/>
        <w:rPr>
          <w:rFonts w:ascii="宋体" w:hAnsi="宋体"/>
          <w:kern w:val="0"/>
          <w:sz w:val="20"/>
          <w:szCs w:val="20"/>
          <w:highlight w:val="none"/>
        </w:rPr>
      </w:pPr>
    </w:p>
    <w:p w14:paraId="03443BEA">
      <w:pPr>
        <w:autoSpaceDE w:val="0"/>
        <w:autoSpaceDN w:val="0"/>
        <w:adjustRightInd w:val="0"/>
        <w:snapToGrid w:val="0"/>
        <w:spacing w:line="360" w:lineRule="auto"/>
        <w:rPr>
          <w:rFonts w:ascii="宋体" w:hAnsi="宋体"/>
          <w:kern w:val="0"/>
          <w:sz w:val="20"/>
          <w:szCs w:val="20"/>
          <w:highlight w:val="none"/>
        </w:rPr>
      </w:pPr>
    </w:p>
    <w:p w14:paraId="49C6E2A5">
      <w:pPr>
        <w:autoSpaceDE w:val="0"/>
        <w:autoSpaceDN w:val="0"/>
        <w:adjustRightInd w:val="0"/>
        <w:snapToGrid w:val="0"/>
        <w:spacing w:line="360" w:lineRule="auto"/>
        <w:jc w:val="left"/>
        <w:rPr>
          <w:rFonts w:ascii="宋体" w:hAnsi="宋体"/>
          <w:kern w:val="0"/>
          <w:sz w:val="20"/>
          <w:szCs w:val="20"/>
          <w:highlight w:val="none"/>
        </w:rPr>
      </w:pPr>
    </w:p>
    <w:p w14:paraId="446565FE">
      <w:pPr>
        <w:autoSpaceDE w:val="0"/>
        <w:autoSpaceDN w:val="0"/>
        <w:adjustRightInd w:val="0"/>
        <w:snapToGrid w:val="0"/>
        <w:spacing w:line="360" w:lineRule="auto"/>
        <w:rPr>
          <w:rFonts w:ascii="宋体" w:hAnsi="宋体"/>
          <w:kern w:val="0"/>
          <w:sz w:val="20"/>
          <w:szCs w:val="20"/>
          <w:highlight w:val="none"/>
        </w:rPr>
      </w:pPr>
    </w:p>
    <w:p w14:paraId="08B4A49D">
      <w:pPr>
        <w:autoSpaceDE w:val="0"/>
        <w:autoSpaceDN w:val="0"/>
        <w:adjustRightInd w:val="0"/>
        <w:snapToGrid w:val="0"/>
        <w:spacing w:line="360" w:lineRule="auto"/>
        <w:rPr>
          <w:rFonts w:ascii="宋体" w:hAnsi="宋体"/>
          <w:kern w:val="0"/>
          <w:sz w:val="20"/>
          <w:szCs w:val="20"/>
          <w:highlight w:val="none"/>
        </w:rPr>
      </w:pPr>
    </w:p>
    <w:p w14:paraId="17D51FDD">
      <w:pPr>
        <w:autoSpaceDE w:val="0"/>
        <w:autoSpaceDN w:val="0"/>
        <w:adjustRightInd w:val="0"/>
        <w:snapToGrid w:val="0"/>
        <w:spacing w:line="360" w:lineRule="auto"/>
        <w:rPr>
          <w:rFonts w:ascii="宋体" w:hAnsi="宋体"/>
          <w:kern w:val="0"/>
          <w:sz w:val="20"/>
          <w:szCs w:val="20"/>
          <w:highlight w:val="none"/>
        </w:rPr>
      </w:pPr>
    </w:p>
    <w:p w14:paraId="715DBC5F">
      <w:pPr>
        <w:tabs>
          <w:tab w:val="left" w:pos="7088"/>
        </w:tabs>
        <w:autoSpaceDE w:val="0"/>
        <w:autoSpaceDN w:val="0"/>
        <w:adjustRightInd w:val="0"/>
        <w:snapToGrid w:val="0"/>
        <w:spacing w:line="360" w:lineRule="auto"/>
        <w:jc w:val="left"/>
        <w:rPr>
          <w:rFonts w:ascii="宋体" w:hAnsi="宋体"/>
          <w:bCs/>
          <w:w w:val="99"/>
          <w:kern w:val="0"/>
          <w:sz w:val="28"/>
          <w:szCs w:val="28"/>
          <w:highlight w:val="none"/>
        </w:rPr>
      </w:pPr>
      <w:r>
        <w:rPr>
          <w:rFonts w:hint="eastAsia" w:ascii="宋体" w:hAnsi="宋体"/>
          <w:bCs/>
          <w:w w:val="99"/>
          <w:kern w:val="0"/>
          <w:sz w:val="28"/>
          <w:szCs w:val="28"/>
          <w:highlight w:val="none"/>
        </w:rPr>
        <w:t xml:space="preserve">比 </w:t>
      </w:r>
      <w:r>
        <w:rPr>
          <w:rFonts w:ascii="宋体" w:hAnsi="宋体"/>
          <w:bCs/>
          <w:w w:val="99"/>
          <w:kern w:val="0"/>
          <w:sz w:val="28"/>
          <w:szCs w:val="28"/>
          <w:highlight w:val="none"/>
        </w:rPr>
        <w:t xml:space="preserve">  </w:t>
      </w:r>
      <w:r>
        <w:rPr>
          <w:rFonts w:hint="eastAsia" w:ascii="宋体" w:hAnsi="宋体"/>
          <w:bCs/>
          <w:w w:val="99"/>
          <w:kern w:val="0"/>
          <w:sz w:val="28"/>
          <w:szCs w:val="28"/>
          <w:highlight w:val="none"/>
        </w:rPr>
        <w:t xml:space="preserve">选   </w:t>
      </w:r>
      <w:r>
        <w:rPr>
          <w:rFonts w:ascii="宋体" w:hAnsi="宋体"/>
          <w:bCs/>
          <w:w w:val="99"/>
          <w:kern w:val="0"/>
          <w:sz w:val="28"/>
          <w:szCs w:val="28"/>
          <w:highlight w:val="none"/>
        </w:rPr>
        <w:t>人：</w:t>
      </w:r>
      <w:r>
        <w:rPr>
          <w:rFonts w:hint="eastAsia" w:ascii="宋体" w:hAnsi="宋体"/>
          <w:bCs/>
          <w:w w:val="99"/>
          <w:kern w:val="0"/>
          <w:sz w:val="28"/>
          <w:szCs w:val="28"/>
          <w:highlight w:val="none"/>
          <w:u w:val="single"/>
          <w:lang w:val="en-US" w:eastAsia="zh-CN"/>
        </w:rPr>
        <w:t>重庆乌江画廊旅游开发有限公司阿依河分公司</w:t>
      </w:r>
      <w:r>
        <w:rPr>
          <w:rFonts w:ascii="宋体" w:hAnsi="宋体"/>
          <w:bCs/>
          <w:w w:val="99"/>
          <w:kern w:val="0"/>
          <w:sz w:val="28"/>
          <w:szCs w:val="28"/>
          <w:highlight w:val="none"/>
        </w:rPr>
        <w:t>（盖单位公章）</w:t>
      </w:r>
    </w:p>
    <w:p w14:paraId="21BF2616">
      <w:pPr>
        <w:autoSpaceDE w:val="0"/>
        <w:autoSpaceDN w:val="0"/>
        <w:adjustRightInd w:val="0"/>
        <w:snapToGrid w:val="0"/>
        <w:spacing w:line="360" w:lineRule="auto"/>
        <w:jc w:val="center"/>
        <w:rPr>
          <w:rFonts w:ascii="宋体" w:hAnsi="宋体"/>
          <w:bCs/>
          <w:kern w:val="0"/>
          <w:sz w:val="28"/>
          <w:szCs w:val="28"/>
          <w:highlight w:val="none"/>
        </w:rPr>
      </w:pPr>
    </w:p>
    <w:p w14:paraId="30190071">
      <w:pPr>
        <w:autoSpaceDE w:val="0"/>
        <w:autoSpaceDN w:val="0"/>
        <w:adjustRightInd w:val="0"/>
        <w:snapToGrid w:val="0"/>
        <w:spacing w:line="360" w:lineRule="auto"/>
        <w:rPr>
          <w:rFonts w:ascii="宋体" w:hAnsi="宋体"/>
          <w:bCs/>
          <w:kern w:val="0"/>
          <w:sz w:val="20"/>
          <w:szCs w:val="20"/>
          <w:highlight w:val="none"/>
        </w:rPr>
      </w:pPr>
    </w:p>
    <w:p w14:paraId="78A0C4D8">
      <w:pPr>
        <w:tabs>
          <w:tab w:val="left" w:pos="6252"/>
        </w:tabs>
        <w:autoSpaceDE w:val="0"/>
        <w:autoSpaceDN w:val="0"/>
        <w:adjustRightInd w:val="0"/>
        <w:snapToGrid w:val="0"/>
        <w:spacing w:line="360" w:lineRule="auto"/>
        <w:jc w:val="center"/>
        <w:rPr>
          <w:rFonts w:ascii="宋体" w:hAnsi="宋体"/>
          <w:bCs/>
          <w:spacing w:val="8"/>
          <w:kern w:val="0"/>
          <w:sz w:val="28"/>
          <w:szCs w:val="28"/>
          <w:highlight w:val="none"/>
        </w:rPr>
      </w:pPr>
      <w:r>
        <w:rPr>
          <w:rFonts w:ascii="宋体" w:hAnsi="宋体"/>
          <w:bCs/>
          <w:spacing w:val="8"/>
          <w:kern w:val="0"/>
          <w:sz w:val="28"/>
          <w:szCs w:val="28"/>
          <w:highlight w:val="none"/>
        </w:rPr>
        <w:t>202</w:t>
      </w:r>
      <w:r>
        <w:rPr>
          <w:rFonts w:hint="eastAsia" w:ascii="宋体" w:hAnsi="宋体"/>
          <w:bCs/>
          <w:spacing w:val="8"/>
          <w:kern w:val="0"/>
          <w:sz w:val="28"/>
          <w:szCs w:val="28"/>
          <w:highlight w:val="none"/>
          <w:lang w:val="en-US" w:eastAsia="zh-CN"/>
        </w:rPr>
        <w:t>6</w:t>
      </w:r>
      <w:r>
        <w:rPr>
          <w:rFonts w:ascii="宋体" w:hAnsi="宋体"/>
          <w:bCs/>
          <w:spacing w:val="8"/>
          <w:kern w:val="0"/>
          <w:sz w:val="28"/>
          <w:szCs w:val="28"/>
          <w:highlight w:val="none"/>
        </w:rPr>
        <w:t>年</w:t>
      </w:r>
      <w:r>
        <w:rPr>
          <w:rFonts w:hint="eastAsia" w:ascii="宋体" w:hAnsi="宋体"/>
          <w:bCs/>
          <w:spacing w:val="8"/>
          <w:kern w:val="0"/>
          <w:sz w:val="28"/>
          <w:szCs w:val="28"/>
          <w:highlight w:val="none"/>
          <w:lang w:val="en-US" w:eastAsia="zh-CN"/>
        </w:rPr>
        <w:t>6</w:t>
      </w:r>
      <w:r>
        <w:rPr>
          <w:rFonts w:ascii="宋体" w:hAnsi="宋体"/>
          <w:bCs/>
          <w:spacing w:val="8"/>
          <w:kern w:val="0"/>
          <w:sz w:val="28"/>
          <w:szCs w:val="28"/>
          <w:highlight w:val="none"/>
        </w:rPr>
        <w:t>月</w:t>
      </w:r>
    </w:p>
    <w:p w14:paraId="6E10C4F0">
      <w:pPr>
        <w:pStyle w:val="3"/>
        <w:spacing w:line="360" w:lineRule="auto"/>
        <w:jc w:val="center"/>
        <w:rPr>
          <w:rFonts w:ascii="宋体" w:hAnsi="宋体"/>
          <w:w w:val="99"/>
          <w:kern w:val="0"/>
          <w:sz w:val="24"/>
          <w:highlight w:val="none"/>
        </w:rPr>
        <w:sectPr>
          <w:footerReference r:id="rId3" w:type="default"/>
          <w:pgSz w:w="11907" w:h="16840"/>
          <w:pgMar w:top="2098" w:right="1531" w:bottom="1984" w:left="1531" w:header="851" w:footer="992" w:gutter="0"/>
          <w:pgNumType w:fmt="numberInDash" w:start="1"/>
          <w:cols w:space="720" w:num="1"/>
          <w:docGrid w:linePitch="312" w:charSpace="0"/>
        </w:sectPr>
      </w:pPr>
    </w:p>
    <w:p w14:paraId="1810D48D">
      <w:pPr>
        <w:pStyle w:val="27"/>
        <w:jc w:val="center"/>
        <w:rPr>
          <w:rFonts w:ascii="宋体" w:hAnsi="宋体"/>
          <w:color w:val="auto"/>
          <w:sz w:val="44"/>
          <w:szCs w:val="44"/>
          <w:highlight w:val="none"/>
        </w:rPr>
      </w:pPr>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p>
    <w:p w14:paraId="781DA608">
      <w:pPr>
        <w:pStyle w:val="11"/>
        <w:tabs>
          <w:tab w:val="right" w:leader="dot" w:pos="9459"/>
          <w:tab w:val="clear" w:pos="8302"/>
        </w:tabs>
        <w:spacing w:line="240" w:lineRule="auto"/>
        <w:rPr>
          <w:rFonts w:ascii="宋体" w:hAnsi="宋体" w:cs="宋体"/>
          <w:b w:val="0"/>
          <w:sz w:val="20"/>
          <w:highlight w:val="none"/>
        </w:rPr>
      </w:pPr>
      <w:r>
        <w:rPr>
          <w:rFonts w:hint="eastAsia" w:ascii="宋体" w:hAnsi="宋体" w:cs="宋体"/>
          <w:sz w:val="20"/>
          <w:highlight w:val="none"/>
        </w:rPr>
        <w:fldChar w:fldCharType="begin"/>
      </w:r>
      <w:r>
        <w:rPr>
          <w:rFonts w:hint="eastAsia" w:ascii="宋体" w:hAnsi="宋体" w:cs="宋体"/>
          <w:sz w:val="20"/>
          <w:highlight w:val="none"/>
        </w:rPr>
        <w:instrText xml:space="preserve"> TOC \o "1-3" \h \z \u </w:instrText>
      </w:r>
      <w:r>
        <w:rPr>
          <w:rFonts w:hint="eastAsia" w:ascii="宋体" w:hAnsi="宋体" w:cs="宋体"/>
          <w:sz w:val="20"/>
          <w:highlight w:val="none"/>
        </w:rPr>
        <w:fldChar w:fldCharType="separate"/>
      </w:r>
      <w:r>
        <w:rPr>
          <w:highlight w:val="none"/>
        </w:rPr>
        <w:fldChar w:fldCharType="begin"/>
      </w:r>
      <w:r>
        <w:rPr>
          <w:highlight w:val="none"/>
        </w:rPr>
        <w:instrText xml:space="preserve"> HYPERLINK \l "_Toc68115847" </w:instrText>
      </w:r>
      <w:r>
        <w:rPr>
          <w:highlight w:val="none"/>
        </w:rPr>
        <w:fldChar w:fldCharType="separate"/>
      </w:r>
      <w:r>
        <w:rPr>
          <w:rStyle w:val="18"/>
          <w:rFonts w:hint="eastAsia" w:ascii="宋体" w:hAnsi="宋体" w:cs="宋体"/>
          <w:snapToGrid w:val="0"/>
          <w:color w:val="auto"/>
          <w:kern w:val="0"/>
          <w:sz w:val="20"/>
          <w:highlight w:val="none"/>
        </w:rPr>
        <w:t>第一章  比选公告</w:t>
      </w:r>
      <w:r>
        <w:rPr>
          <w:rFonts w:hint="eastAsia" w:ascii="宋体" w:hAnsi="宋体" w:cs="宋体"/>
          <w:sz w:val="20"/>
          <w:highlight w:val="none"/>
        </w:rPr>
        <w:tab/>
      </w:r>
      <w:r>
        <w:rPr>
          <w:rFonts w:hint="eastAsia" w:ascii="宋体" w:hAnsi="宋体" w:cs="宋体"/>
          <w:sz w:val="20"/>
          <w:highlight w:val="none"/>
        </w:rPr>
        <w:t>3</w:t>
      </w:r>
      <w:r>
        <w:rPr>
          <w:rFonts w:hint="eastAsia" w:ascii="宋体" w:hAnsi="宋体" w:cs="宋体"/>
          <w:sz w:val="20"/>
          <w:highlight w:val="none"/>
        </w:rPr>
        <w:fldChar w:fldCharType="end"/>
      </w:r>
    </w:p>
    <w:p w14:paraId="4EE1EE7C">
      <w:pPr>
        <w:pStyle w:val="11"/>
        <w:tabs>
          <w:tab w:val="right" w:leader="dot" w:pos="9459"/>
          <w:tab w:val="clear" w:pos="8302"/>
        </w:tabs>
        <w:spacing w:line="240" w:lineRule="auto"/>
        <w:rPr>
          <w:rFonts w:hint="eastAsia" w:ascii="宋体" w:hAnsi="宋体" w:eastAsia="宋体" w:cs="宋体"/>
          <w:b w:val="0"/>
          <w:sz w:val="20"/>
          <w:highlight w:val="none"/>
          <w:lang w:eastAsia="zh-CN"/>
        </w:rPr>
      </w:pPr>
      <w:r>
        <w:rPr>
          <w:highlight w:val="none"/>
        </w:rPr>
        <w:fldChar w:fldCharType="begin"/>
      </w:r>
      <w:r>
        <w:rPr>
          <w:highlight w:val="none"/>
        </w:rPr>
        <w:instrText xml:space="preserve"> HYPERLINK \l "_Toc68115854" </w:instrText>
      </w:r>
      <w:r>
        <w:rPr>
          <w:highlight w:val="none"/>
        </w:rPr>
        <w:fldChar w:fldCharType="separate"/>
      </w:r>
      <w:r>
        <w:rPr>
          <w:rStyle w:val="18"/>
          <w:rFonts w:hint="eastAsia" w:ascii="宋体" w:hAnsi="宋体" w:cs="宋体"/>
          <w:snapToGrid w:val="0"/>
          <w:color w:val="auto"/>
          <w:kern w:val="0"/>
          <w:sz w:val="20"/>
          <w:highlight w:val="none"/>
        </w:rPr>
        <w:t>第二章  参选人须知</w:t>
      </w:r>
      <w:r>
        <w:rPr>
          <w:rFonts w:hint="eastAsia" w:ascii="宋体" w:hAnsi="宋体" w:cs="宋体"/>
          <w:sz w:val="20"/>
          <w:highlight w:val="none"/>
        </w:rPr>
        <w:tab/>
      </w:r>
      <w:r>
        <w:rPr>
          <w:rFonts w:hint="eastAsia" w:ascii="宋体" w:hAnsi="宋体" w:cs="宋体"/>
          <w:sz w:val="20"/>
          <w:highlight w:val="none"/>
        </w:rPr>
        <w:fldChar w:fldCharType="end"/>
      </w:r>
      <w:r>
        <w:rPr>
          <w:rFonts w:hint="eastAsia" w:ascii="宋体" w:hAnsi="宋体" w:cs="宋体"/>
          <w:sz w:val="20"/>
          <w:highlight w:val="none"/>
          <w:lang w:val="en-US" w:eastAsia="zh-CN"/>
        </w:rPr>
        <w:t>6</w:t>
      </w:r>
    </w:p>
    <w:p w14:paraId="09D69B41">
      <w:pPr>
        <w:pStyle w:val="11"/>
        <w:tabs>
          <w:tab w:val="right" w:leader="dot" w:pos="9459"/>
          <w:tab w:val="clear" w:pos="8302"/>
        </w:tabs>
        <w:spacing w:line="240" w:lineRule="auto"/>
        <w:rPr>
          <w:rFonts w:hint="default" w:ascii="宋体" w:hAnsi="宋体" w:eastAsia="宋体" w:cs="宋体"/>
          <w:b w:val="0"/>
          <w:sz w:val="20"/>
          <w:highlight w:val="none"/>
          <w:lang w:val="en-US" w:eastAsia="zh-CN"/>
        </w:rPr>
      </w:pPr>
      <w:r>
        <w:rPr>
          <w:highlight w:val="none"/>
        </w:rPr>
        <w:fldChar w:fldCharType="begin"/>
      </w:r>
      <w:r>
        <w:rPr>
          <w:highlight w:val="none"/>
        </w:rPr>
        <w:instrText xml:space="preserve"> HYPERLINK \l "_Toc68115907" </w:instrText>
      </w:r>
      <w:r>
        <w:rPr>
          <w:highlight w:val="none"/>
        </w:rPr>
        <w:fldChar w:fldCharType="separate"/>
      </w:r>
      <w:r>
        <w:rPr>
          <w:rStyle w:val="18"/>
          <w:rFonts w:hint="eastAsia" w:ascii="宋体" w:hAnsi="宋体" w:cs="宋体"/>
          <w:color w:val="auto"/>
          <w:sz w:val="20"/>
          <w:highlight w:val="none"/>
        </w:rPr>
        <w:t>第三章  评标办法（综合评估法）</w:t>
      </w:r>
      <w:r>
        <w:rPr>
          <w:rFonts w:hint="eastAsia" w:ascii="宋体" w:hAnsi="宋体" w:cs="宋体"/>
          <w:sz w:val="20"/>
          <w:highlight w:val="none"/>
        </w:rPr>
        <w:tab/>
      </w:r>
      <w:r>
        <w:rPr>
          <w:rFonts w:hint="eastAsia" w:ascii="宋体" w:hAnsi="宋体" w:cs="宋体"/>
          <w:sz w:val="20"/>
          <w:highlight w:val="none"/>
        </w:rPr>
        <w:fldChar w:fldCharType="end"/>
      </w:r>
      <w:r>
        <w:rPr>
          <w:rFonts w:hint="eastAsia" w:ascii="宋体" w:hAnsi="宋体" w:cs="宋体"/>
          <w:sz w:val="20"/>
          <w:highlight w:val="none"/>
          <w:lang w:val="en-US" w:eastAsia="zh-CN"/>
        </w:rPr>
        <w:t>14</w:t>
      </w:r>
    </w:p>
    <w:p w14:paraId="25AEAC70">
      <w:pPr>
        <w:pStyle w:val="11"/>
        <w:tabs>
          <w:tab w:val="right" w:leader="dot" w:pos="9459"/>
          <w:tab w:val="clear" w:pos="8302"/>
        </w:tabs>
        <w:spacing w:line="240" w:lineRule="auto"/>
        <w:rPr>
          <w:rFonts w:hint="default" w:ascii="宋体" w:hAnsi="宋体" w:eastAsia="宋体" w:cs="宋体"/>
          <w:b w:val="0"/>
          <w:sz w:val="20"/>
          <w:highlight w:val="none"/>
          <w:lang w:val="en-US" w:eastAsia="zh-CN"/>
        </w:rPr>
      </w:pPr>
      <w:r>
        <w:rPr>
          <w:highlight w:val="none"/>
        </w:rPr>
        <w:fldChar w:fldCharType="begin"/>
      </w:r>
      <w:r>
        <w:rPr>
          <w:highlight w:val="none"/>
        </w:rPr>
        <w:instrText xml:space="preserve"> HYPERLINK \l "_Toc68115918" </w:instrText>
      </w:r>
      <w:r>
        <w:rPr>
          <w:highlight w:val="none"/>
        </w:rPr>
        <w:fldChar w:fldCharType="separate"/>
      </w:r>
      <w:r>
        <w:rPr>
          <w:rStyle w:val="18"/>
          <w:rFonts w:hint="eastAsia" w:ascii="宋体" w:hAnsi="宋体" w:cs="宋体"/>
          <w:color w:val="auto"/>
          <w:kern w:val="0"/>
          <w:sz w:val="20"/>
          <w:highlight w:val="none"/>
        </w:rPr>
        <w:t>第四章  合同主要条款</w:t>
      </w:r>
      <w:r>
        <w:rPr>
          <w:rFonts w:hint="eastAsia" w:ascii="宋体" w:hAnsi="宋体" w:cs="宋体"/>
          <w:sz w:val="20"/>
          <w:highlight w:val="none"/>
        </w:rPr>
        <w:tab/>
      </w:r>
      <w:r>
        <w:rPr>
          <w:rFonts w:hint="eastAsia" w:ascii="宋体" w:hAnsi="宋体" w:cs="宋体"/>
          <w:sz w:val="20"/>
          <w:highlight w:val="none"/>
        </w:rPr>
        <w:fldChar w:fldCharType="end"/>
      </w:r>
      <w:r>
        <w:rPr>
          <w:rFonts w:hint="eastAsia" w:ascii="宋体" w:hAnsi="宋体" w:cs="宋体"/>
          <w:sz w:val="20"/>
          <w:highlight w:val="none"/>
          <w:lang w:val="en-US" w:eastAsia="zh-CN"/>
        </w:rPr>
        <w:t>17</w:t>
      </w:r>
    </w:p>
    <w:p w14:paraId="356B02DC">
      <w:pPr>
        <w:pStyle w:val="11"/>
        <w:tabs>
          <w:tab w:val="right" w:leader="dot" w:pos="9459"/>
          <w:tab w:val="clear" w:pos="8302"/>
        </w:tabs>
        <w:spacing w:line="240" w:lineRule="auto"/>
        <w:rPr>
          <w:rFonts w:hint="default" w:ascii="宋体" w:hAnsi="宋体" w:eastAsia="宋体" w:cs="宋体"/>
          <w:b w:val="0"/>
          <w:sz w:val="20"/>
          <w:highlight w:val="none"/>
          <w:lang w:val="en-US" w:eastAsia="zh-CN"/>
        </w:rPr>
      </w:pPr>
      <w:r>
        <w:rPr>
          <w:highlight w:val="none"/>
        </w:rPr>
        <w:fldChar w:fldCharType="begin"/>
      </w:r>
      <w:r>
        <w:rPr>
          <w:highlight w:val="none"/>
        </w:rPr>
        <w:instrText xml:space="preserve"> HYPERLINK \l "_Toc68115920" </w:instrText>
      </w:r>
      <w:r>
        <w:rPr>
          <w:highlight w:val="none"/>
        </w:rPr>
        <w:fldChar w:fldCharType="separate"/>
      </w:r>
      <w:r>
        <w:rPr>
          <w:rStyle w:val="18"/>
          <w:rFonts w:hint="eastAsia" w:ascii="宋体" w:hAnsi="宋体" w:cs="宋体"/>
          <w:color w:val="auto"/>
          <w:sz w:val="20"/>
          <w:highlight w:val="none"/>
        </w:rPr>
        <w:t>第</w:t>
      </w:r>
      <w:r>
        <w:rPr>
          <w:rStyle w:val="18"/>
          <w:rFonts w:hint="eastAsia" w:ascii="宋体" w:hAnsi="宋体" w:cs="宋体"/>
          <w:color w:val="auto"/>
          <w:sz w:val="20"/>
          <w:highlight w:val="none"/>
          <w:lang w:val="en-US" w:eastAsia="zh-CN"/>
        </w:rPr>
        <w:t>五</w:t>
      </w:r>
      <w:r>
        <w:rPr>
          <w:rStyle w:val="18"/>
          <w:rFonts w:hint="eastAsia" w:ascii="宋体" w:hAnsi="宋体" w:cs="宋体"/>
          <w:color w:val="auto"/>
          <w:sz w:val="20"/>
          <w:highlight w:val="none"/>
        </w:rPr>
        <w:t>章  参选文件格式</w:t>
      </w:r>
      <w:r>
        <w:rPr>
          <w:rFonts w:hint="eastAsia" w:ascii="宋体" w:hAnsi="宋体" w:cs="宋体"/>
          <w:sz w:val="20"/>
          <w:highlight w:val="none"/>
        </w:rPr>
        <w:tab/>
      </w:r>
      <w:r>
        <w:rPr>
          <w:rFonts w:hint="eastAsia" w:ascii="宋体" w:hAnsi="宋体" w:cs="宋体"/>
          <w:sz w:val="20"/>
          <w:highlight w:val="none"/>
        </w:rPr>
        <w:fldChar w:fldCharType="end"/>
      </w:r>
      <w:r>
        <w:rPr>
          <w:rFonts w:hint="eastAsia" w:ascii="宋体" w:hAnsi="宋体" w:cs="宋体"/>
          <w:sz w:val="20"/>
          <w:highlight w:val="none"/>
          <w:lang w:val="en-US" w:eastAsia="zh-CN"/>
        </w:rPr>
        <w:t>21</w:t>
      </w:r>
    </w:p>
    <w:p w14:paraId="15F10DA9">
      <w:pPr>
        <w:spacing w:line="560" w:lineRule="exact"/>
        <w:jc w:val="center"/>
        <w:rPr>
          <w:rFonts w:ascii="宋体" w:hAnsi="宋体" w:cs="宋体"/>
          <w:bCs/>
          <w:sz w:val="20"/>
          <w:szCs w:val="20"/>
          <w:highlight w:val="none"/>
          <w:lang w:val="zh-CN"/>
        </w:rPr>
      </w:pPr>
      <w:r>
        <w:rPr>
          <w:rFonts w:hint="eastAsia" w:ascii="宋体" w:hAnsi="宋体" w:cs="宋体"/>
          <w:bCs/>
          <w:sz w:val="20"/>
          <w:szCs w:val="20"/>
          <w:highlight w:val="none"/>
          <w:lang w:val="zh-CN"/>
        </w:rPr>
        <w:fldChar w:fldCharType="end"/>
      </w:r>
    </w:p>
    <w:p w14:paraId="06776496">
      <w:pPr>
        <w:spacing w:line="560" w:lineRule="exact"/>
        <w:jc w:val="center"/>
        <w:rPr>
          <w:rFonts w:ascii="宋体" w:hAnsi="宋体" w:cs="宋体"/>
          <w:bCs/>
          <w:sz w:val="20"/>
          <w:szCs w:val="20"/>
          <w:highlight w:val="none"/>
          <w:lang w:val="zh-CN"/>
        </w:rPr>
      </w:pPr>
    </w:p>
    <w:p w14:paraId="38E1D08E">
      <w:pPr>
        <w:spacing w:line="560" w:lineRule="exact"/>
        <w:jc w:val="center"/>
        <w:rPr>
          <w:rFonts w:ascii="宋体" w:hAnsi="宋体" w:cs="宋体"/>
          <w:bCs/>
          <w:sz w:val="20"/>
          <w:szCs w:val="20"/>
          <w:highlight w:val="none"/>
          <w:lang w:val="zh-CN"/>
        </w:rPr>
      </w:pPr>
    </w:p>
    <w:p w14:paraId="79B73DBF">
      <w:pPr>
        <w:spacing w:line="560" w:lineRule="exact"/>
        <w:jc w:val="center"/>
        <w:rPr>
          <w:rFonts w:ascii="宋体" w:hAnsi="宋体" w:cs="宋体"/>
          <w:bCs/>
          <w:sz w:val="20"/>
          <w:szCs w:val="20"/>
          <w:highlight w:val="none"/>
          <w:lang w:val="zh-CN"/>
        </w:rPr>
      </w:pPr>
    </w:p>
    <w:p w14:paraId="1C86266B">
      <w:pPr>
        <w:spacing w:line="560" w:lineRule="exact"/>
        <w:jc w:val="center"/>
        <w:rPr>
          <w:rFonts w:ascii="宋体" w:hAnsi="宋体" w:cs="宋体"/>
          <w:bCs/>
          <w:sz w:val="20"/>
          <w:szCs w:val="20"/>
          <w:highlight w:val="none"/>
          <w:lang w:val="zh-CN"/>
        </w:rPr>
      </w:pPr>
    </w:p>
    <w:p w14:paraId="48E20342">
      <w:pPr>
        <w:spacing w:line="560" w:lineRule="exact"/>
        <w:jc w:val="center"/>
        <w:rPr>
          <w:rFonts w:ascii="宋体" w:hAnsi="宋体" w:cs="宋体"/>
          <w:bCs/>
          <w:sz w:val="20"/>
          <w:szCs w:val="20"/>
          <w:highlight w:val="none"/>
          <w:lang w:val="zh-CN"/>
        </w:rPr>
      </w:pPr>
    </w:p>
    <w:p w14:paraId="44DD5155">
      <w:pPr>
        <w:spacing w:line="560" w:lineRule="exact"/>
        <w:jc w:val="center"/>
        <w:rPr>
          <w:rFonts w:ascii="宋体" w:hAnsi="宋体" w:cs="宋体"/>
          <w:bCs/>
          <w:sz w:val="20"/>
          <w:szCs w:val="20"/>
          <w:highlight w:val="none"/>
          <w:lang w:val="zh-CN"/>
        </w:rPr>
      </w:pPr>
    </w:p>
    <w:p w14:paraId="5BFC59A4">
      <w:pPr>
        <w:spacing w:line="560" w:lineRule="exact"/>
        <w:jc w:val="center"/>
        <w:rPr>
          <w:rFonts w:ascii="宋体" w:hAnsi="宋体" w:cs="宋体"/>
          <w:bCs/>
          <w:sz w:val="20"/>
          <w:szCs w:val="20"/>
          <w:highlight w:val="none"/>
          <w:lang w:val="zh-CN"/>
        </w:rPr>
      </w:pPr>
    </w:p>
    <w:p w14:paraId="6FF0FE82">
      <w:pPr>
        <w:spacing w:line="560" w:lineRule="exact"/>
        <w:jc w:val="center"/>
        <w:rPr>
          <w:rFonts w:ascii="宋体" w:hAnsi="宋体" w:cs="宋体"/>
          <w:bCs/>
          <w:sz w:val="20"/>
          <w:szCs w:val="20"/>
          <w:highlight w:val="none"/>
          <w:lang w:val="zh-CN"/>
        </w:rPr>
      </w:pPr>
    </w:p>
    <w:p w14:paraId="60776999">
      <w:pPr>
        <w:spacing w:line="560" w:lineRule="exact"/>
        <w:jc w:val="center"/>
        <w:rPr>
          <w:rFonts w:ascii="宋体" w:hAnsi="宋体" w:cs="宋体"/>
          <w:bCs/>
          <w:sz w:val="20"/>
          <w:szCs w:val="20"/>
          <w:highlight w:val="none"/>
          <w:lang w:val="zh-CN"/>
        </w:rPr>
      </w:pPr>
    </w:p>
    <w:p w14:paraId="76290646">
      <w:pPr>
        <w:spacing w:line="560" w:lineRule="exact"/>
        <w:jc w:val="center"/>
        <w:rPr>
          <w:rFonts w:ascii="宋体" w:hAnsi="宋体" w:cs="宋体"/>
          <w:bCs/>
          <w:sz w:val="20"/>
          <w:szCs w:val="20"/>
          <w:highlight w:val="none"/>
          <w:lang w:val="zh-CN"/>
        </w:rPr>
      </w:pPr>
    </w:p>
    <w:p w14:paraId="6D06AF3A">
      <w:pPr>
        <w:rPr>
          <w:lang w:val="zh-CN"/>
        </w:rPr>
      </w:pPr>
      <w:r>
        <w:rPr>
          <w:lang w:val="zh-CN"/>
        </w:rPr>
        <w:br w:type="page"/>
      </w:r>
    </w:p>
    <w:p w14:paraId="699C7E91">
      <w:pPr>
        <w:pStyle w:val="2"/>
        <w:rPr>
          <w:lang w:val="zh-CN"/>
        </w:rPr>
      </w:pPr>
    </w:p>
    <w:p w14:paraId="61561710">
      <w:pPr>
        <w:pStyle w:val="3"/>
        <w:spacing w:line="360" w:lineRule="auto"/>
        <w:jc w:val="center"/>
        <w:rPr>
          <w:rFonts w:ascii="宋体" w:hAnsi="宋体"/>
          <w:snapToGrid w:val="0"/>
          <w:kern w:val="0"/>
          <w:highlight w:val="none"/>
        </w:rPr>
      </w:pPr>
      <w:r>
        <w:rPr>
          <w:rFonts w:ascii="宋体" w:hAnsi="宋体"/>
          <w:snapToGrid w:val="0"/>
          <w:kern w:val="0"/>
          <w:highlight w:val="none"/>
        </w:rPr>
        <w:t xml:space="preserve">第一章  </w:t>
      </w:r>
      <w:r>
        <w:rPr>
          <w:rFonts w:hint="eastAsia" w:ascii="宋体" w:hAnsi="宋体"/>
          <w:snapToGrid w:val="0"/>
          <w:kern w:val="0"/>
          <w:highlight w:val="none"/>
        </w:rPr>
        <w:t>比选公告</w:t>
      </w:r>
    </w:p>
    <w:p w14:paraId="6FE1A843">
      <w:pPr>
        <w:autoSpaceDE w:val="0"/>
        <w:autoSpaceDN w:val="0"/>
        <w:adjustRightInd w:val="0"/>
        <w:snapToGrid w:val="0"/>
        <w:spacing w:line="360" w:lineRule="auto"/>
        <w:jc w:val="center"/>
        <w:outlineLvl w:val="1"/>
        <w:rPr>
          <w:rFonts w:hint="eastAsia" w:ascii="宋体" w:hAnsi="宋体" w:eastAsia="宋体" w:cs="宋体"/>
          <w:b/>
          <w:bCs/>
          <w:snapToGrid w:val="0"/>
          <w:w w:val="99"/>
          <w:kern w:val="0"/>
          <w:sz w:val="28"/>
          <w:szCs w:val="28"/>
          <w:highlight w:val="none"/>
        </w:rPr>
      </w:pPr>
      <w:r>
        <w:rPr>
          <w:rFonts w:hint="eastAsia" w:ascii="宋体" w:hAnsi="宋体" w:cs="宋体"/>
          <w:b/>
          <w:bCs/>
          <w:snapToGrid w:val="0"/>
          <w:kern w:val="0"/>
          <w:sz w:val="28"/>
          <w:szCs w:val="28"/>
          <w:highlight w:val="none"/>
          <w:lang w:val="en-US" w:eastAsia="zh-CN"/>
        </w:rPr>
        <w:t>阿依河景区重要节点艺术装置及展陈提升EPC工程</w:t>
      </w:r>
      <w:r>
        <w:rPr>
          <w:rFonts w:hint="eastAsia" w:ascii="宋体" w:hAnsi="宋体" w:eastAsia="宋体" w:cs="宋体"/>
          <w:b/>
          <w:bCs/>
          <w:snapToGrid w:val="0"/>
          <w:kern w:val="0"/>
          <w:sz w:val="28"/>
          <w:szCs w:val="28"/>
          <w:highlight w:val="none"/>
        </w:rPr>
        <w:t>比选公告</w:t>
      </w:r>
    </w:p>
    <w:p w14:paraId="10620573">
      <w:pPr>
        <w:pStyle w:val="4"/>
        <w:pageBreakBefore w:val="0"/>
        <w:widowControl w:val="0"/>
        <w:kinsoku/>
        <w:wordWrap/>
        <w:overflowPunct/>
        <w:topLinePunct w:val="0"/>
        <w:bidi w:val="0"/>
        <w:spacing w:before="0" w:after="0" w:line="400" w:lineRule="exact"/>
        <w:textAlignment w:val="auto"/>
        <w:rPr>
          <w:rFonts w:hint="default" w:ascii="宋体" w:hAnsi="宋体" w:eastAsia="宋体"/>
          <w:snapToGrid w:val="0"/>
          <w:sz w:val="28"/>
          <w:szCs w:val="28"/>
          <w:highlight w:val="none"/>
          <w:lang w:val="en-US" w:eastAsia="zh-CN"/>
        </w:rPr>
      </w:pPr>
      <w:r>
        <w:rPr>
          <w:rFonts w:hint="eastAsia" w:ascii="宋体" w:hAnsi="宋体"/>
          <w:snapToGrid w:val="0"/>
          <w:sz w:val="28"/>
          <w:szCs w:val="28"/>
          <w:highlight w:val="none"/>
          <w:lang w:val="en-US" w:eastAsia="zh-CN"/>
        </w:rPr>
        <w:t>1.比选条件</w:t>
      </w:r>
    </w:p>
    <w:p w14:paraId="5D871932">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sz w:val="20"/>
          <w:szCs w:val="22"/>
          <w:highlight w:val="none"/>
        </w:rPr>
      </w:pPr>
      <w:r>
        <w:rPr>
          <w:rFonts w:ascii="宋体" w:hAnsi="宋体"/>
          <w:snapToGrid w:val="0"/>
          <w:kern w:val="0"/>
          <w:szCs w:val="21"/>
          <w:highlight w:val="none"/>
        </w:rPr>
        <w:t>本比选项目</w:t>
      </w:r>
      <w:r>
        <w:rPr>
          <w:rFonts w:hint="eastAsia" w:ascii="宋体" w:hAnsi="宋体"/>
          <w:snapToGrid w:val="0"/>
          <w:kern w:val="0"/>
          <w:szCs w:val="21"/>
          <w:highlight w:val="none"/>
          <w:lang w:val="en-US" w:eastAsia="zh-CN"/>
        </w:rPr>
        <w:t>阿依河景区重要节点艺术装置及展陈提升EPC工程</w:t>
      </w:r>
      <w:r>
        <w:rPr>
          <w:rFonts w:ascii="宋体" w:hAnsi="宋体"/>
          <w:snapToGrid w:val="0"/>
          <w:kern w:val="0"/>
          <w:szCs w:val="21"/>
          <w:highlight w:val="none"/>
        </w:rPr>
        <w:t>，项目业主为</w:t>
      </w:r>
      <w:r>
        <w:rPr>
          <w:rFonts w:hint="eastAsia" w:ascii="宋体" w:hAnsi="宋体"/>
          <w:snapToGrid w:val="0"/>
          <w:kern w:val="0"/>
          <w:szCs w:val="21"/>
          <w:highlight w:val="none"/>
          <w:u w:val="single"/>
          <w:lang w:val="en-US" w:eastAsia="zh-CN"/>
        </w:rPr>
        <w:t>重庆乌江画廊旅游开发有限公司阿依河分公司</w:t>
      </w:r>
      <w:r>
        <w:rPr>
          <w:rFonts w:ascii="宋体" w:hAnsi="宋体"/>
          <w:snapToGrid w:val="0"/>
          <w:kern w:val="0"/>
          <w:szCs w:val="21"/>
          <w:highlight w:val="none"/>
        </w:rPr>
        <w:t>，资金来自</w:t>
      </w:r>
      <w:r>
        <w:rPr>
          <w:rFonts w:hint="eastAsia" w:ascii="宋体" w:hAnsi="宋体"/>
          <w:snapToGrid w:val="0"/>
          <w:kern w:val="0"/>
          <w:szCs w:val="21"/>
          <w:highlight w:val="none"/>
          <w:u w:val="single"/>
        </w:rPr>
        <w:t>自筹</w:t>
      </w:r>
      <w:r>
        <w:rPr>
          <w:rFonts w:ascii="宋体" w:hAnsi="宋体"/>
          <w:snapToGrid w:val="0"/>
          <w:kern w:val="0"/>
          <w:szCs w:val="21"/>
          <w:highlight w:val="none"/>
        </w:rPr>
        <w:t>，项目出资比例为</w:t>
      </w:r>
      <w:r>
        <w:rPr>
          <w:rFonts w:ascii="宋体" w:hAnsi="宋体"/>
          <w:snapToGrid w:val="0"/>
          <w:kern w:val="0"/>
          <w:szCs w:val="21"/>
          <w:highlight w:val="none"/>
          <w:u w:val="single"/>
        </w:rPr>
        <w:t>100%</w:t>
      </w:r>
      <w:r>
        <w:rPr>
          <w:rFonts w:ascii="宋体" w:hAnsi="宋体"/>
          <w:snapToGrid w:val="0"/>
          <w:kern w:val="0"/>
          <w:szCs w:val="21"/>
          <w:highlight w:val="none"/>
        </w:rPr>
        <w:t>，比选人</w:t>
      </w:r>
      <w:r>
        <w:rPr>
          <w:rFonts w:ascii="宋体" w:hAnsi="宋体"/>
          <w:snapToGrid w:val="0"/>
          <w:kern w:val="0"/>
          <w:position w:val="-2"/>
          <w:szCs w:val="21"/>
          <w:highlight w:val="none"/>
        </w:rPr>
        <w:t>为</w:t>
      </w:r>
      <w:r>
        <w:rPr>
          <w:rFonts w:hint="eastAsia" w:ascii="宋体" w:hAnsi="宋体"/>
          <w:snapToGrid w:val="0"/>
          <w:kern w:val="0"/>
          <w:szCs w:val="21"/>
          <w:highlight w:val="none"/>
          <w:u w:val="single"/>
          <w:lang w:val="en-US" w:eastAsia="zh-CN"/>
        </w:rPr>
        <w:t>重庆乌江画廊旅游开发有限公司阿依河分公司</w:t>
      </w:r>
      <w:r>
        <w:rPr>
          <w:rFonts w:ascii="宋体" w:hAnsi="宋体"/>
          <w:snapToGrid w:val="0"/>
          <w:kern w:val="0"/>
          <w:position w:val="-2"/>
          <w:szCs w:val="21"/>
          <w:highlight w:val="none"/>
        </w:rPr>
        <w:t>。项目已具备比选条件，</w:t>
      </w:r>
      <w:r>
        <w:rPr>
          <w:rFonts w:hint="eastAsia" w:ascii="宋体" w:hAnsi="宋体"/>
          <w:snapToGrid w:val="0"/>
          <w:kern w:val="0"/>
          <w:position w:val="-2"/>
          <w:szCs w:val="21"/>
          <w:highlight w:val="none"/>
        </w:rPr>
        <w:t>现对本项目进行公开比选</w:t>
      </w:r>
      <w:r>
        <w:rPr>
          <w:rFonts w:ascii="宋体" w:hAnsi="宋体"/>
          <w:snapToGrid w:val="0"/>
          <w:kern w:val="0"/>
          <w:position w:val="-2"/>
          <w:szCs w:val="21"/>
          <w:highlight w:val="none"/>
        </w:rPr>
        <w:t>。</w:t>
      </w:r>
    </w:p>
    <w:p w14:paraId="15EF060D">
      <w:pPr>
        <w:pStyle w:val="4"/>
        <w:pageBreakBefore w:val="0"/>
        <w:widowControl w:val="0"/>
        <w:kinsoku/>
        <w:wordWrap/>
        <w:overflowPunct/>
        <w:topLinePunct w:val="0"/>
        <w:bidi w:val="0"/>
        <w:spacing w:before="0" w:after="0" w:line="400" w:lineRule="exact"/>
        <w:textAlignment w:val="auto"/>
        <w:rPr>
          <w:rFonts w:ascii="宋体" w:hAnsi="宋体"/>
          <w:snapToGrid w:val="0"/>
          <w:sz w:val="28"/>
          <w:szCs w:val="28"/>
          <w:highlight w:val="none"/>
        </w:rPr>
      </w:pPr>
      <w:r>
        <w:rPr>
          <w:rFonts w:hint="eastAsia" w:ascii="宋体" w:hAnsi="宋体"/>
          <w:snapToGrid w:val="0"/>
          <w:sz w:val="28"/>
          <w:szCs w:val="28"/>
          <w:highlight w:val="none"/>
          <w:lang w:val="en-US" w:eastAsia="zh-CN"/>
        </w:rPr>
        <w:t>2.</w:t>
      </w:r>
      <w:r>
        <w:rPr>
          <w:rFonts w:ascii="宋体" w:hAnsi="宋体"/>
          <w:snapToGrid w:val="0"/>
          <w:sz w:val="28"/>
          <w:szCs w:val="28"/>
          <w:highlight w:val="none"/>
        </w:rPr>
        <w:t>项目概况与比选范围</w:t>
      </w:r>
    </w:p>
    <w:p w14:paraId="098D58ED">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default" w:ascii="宋体" w:hAnsi="宋体" w:eastAsia="宋体" w:cs="Times New Roman"/>
          <w:snapToGrid w:val="0"/>
          <w:kern w:val="0"/>
          <w:szCs w:val="21"/>
          <w:highlight w:val="none"/>
          <w:u w:val="single"/>
          <w:lang w:val="en-US"/>
        </w:rPr>
      </w:pPr>
      <w:r>
        <w:rPr>
          <w:rFonts w:hint="eastAsia" w:ascii="宋体" w:hAnsi="宋体"/>
          <w:b/>
          <w:bCs/>
          <w:snapToGrid w:val="0"/>
          <w:kern w:val="0"/>
          <w:szCs w:val="21"/>
          <w:highlight w:val="none"/>
        </w:rPr>
        <w:t>2.1项目地点：</w:t>
      </w:r>
      <w:r>
        <w:rPr>
          <w:rFonts w:hint="eastAsia" w:ascii="宋体" w:hAnsi="宋体" w:eastAsia="宋体" w:cs="Times New Roman"/>
          <w:snapToGrid w:val="0"/>
          <w:kern w:val="0"/>
          <w:szCs w:val="21"/>
          <w:highlight w:val="none"/>
          <w:u w:val="single"/>
          <w:lang w:val="en-US" w:eastAsia="zh-CN"/>
        </w:rPr>
        <w:t>重庆市彭水县绍庆街道阿依河社区6组168号阿依河景区</w:t>
      </w:r>
      <w:r>
        <w:rPr>
          <w:rFonts w:hint="eastAsia" w:ascii="宋体" w:hAnsi="宋体" w:cs="Times New Roman"/>
          <w:snapToGrid w:val="0"/>
          <w:kern w:val="0"/>
          <w:szCs w:val="21"/>
          <w:highlight w:val="none"/>
          <w:u w:val="single"/>
          <w:lang w:val="en-US" w:eastAsia="zh-CN"/>
        </w:rPr>
        <w:t>岩头坝区域。</w:t>
      </w:r>
    </w:p>
    <w:p w14:paraId="5B0BF9D0">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Times New Roman"/>
          <w:snapToGrid w:val="0"/>
          <w:kern w:val="0"/>
          <w:sz w:val="21"/>
          <w:szCs w:val="21"/>
          <w:highlight w:val="none"/>
          <w:u w:val="single"/>
          <w:lang w:val="en-US" w:eastAsia="zh-CN" w:bidi="ar-SA"/>
        </w:rPr>
      </w:pPr>
      <w:r>
        <w:rPr>
          <w:rFonts w:hint="eastAsia" w:ascii="宋体" w:hAnsi="宋体"/>
          <w:b/>
          <w:bCs/>
          <w:snapToGrid w:val="0"/>
          <w:kern w:val="0"/>
          <w:szCs w:val="21"/>
          <w:highlight w:val="none"/>
        </w:rPr>
        <w:t>2.2项目概况：</w:t>
      </w:r>
      <w:r>
        <w:rPr>
          <w:rFonts w:hint="eastAsia" w:ascii="宋体" w:hAnsi="宋体"/>
          <w:snapToGrid w:val="0"/>
          <w:kern w:val="0"/>
          <w:szCs w:val="21"/>
          <w:highlight w:val="none"/>
          <w:u w:val="single"/>
        </w:rPr>
        <w:t>本项目</w:t>
      </w:r>
      <w:r>
        <w:rPr>
          <w:rFonts w:hint="eastAsia" w:ascii="宋体" w:hAnsi="宋体"/>
          <w:snapToGrid w:val="0"/>
          <w:kern w:val="0"/>
          <w:szCs w:val="21"/>
          <w:highlight w:val="none"/>
          <w:u w:val="single"/>
          <w:lang w:val="en-US" w:eastAsia="zh-CN"/>
        </w:rPr>
        <w:t>中</w:t>
      </w:r>
      <w:r>
        <w:rPr>
          <w:rFonts w:hint="eastAsia" w:ascii="宋体" w:hAnsi="宋体" w:cs="Times New Roman"/>
          <w:snapToGrid w:val="0"/>
          <w:kern w:val="0"/>
          <w:szCs w:val="21"/>
          <w:highlight w:val="none"/>
          <w:u w:val="single"/>
          <w:lang w:val="en-US" w:eastAsia="zh-CN"/>
        </w:rPr>
        <w:t>阿依河景区重要节点艺术装置及展陈提升</w:t>
      </w:r>
      <w:r>
        <w:rPr>
          <w:rFonts w:hint="eastAsia" w:ascii="宋体" w:hAnsi="宋体" w:eastAsia="宋体" w:cs="Times New Roman"/>
          <w:snapToGrid w:val="0"/>
          <w:kern w:val="0"/>
          <w:szCs w:val="21"/>
          <w:highlight w:val="none"/>
          <w:u w:val="single"/>
          <w:lang w:val="en-US" w:eastAsia="zh-CN"/>
        </w:rPr>
        <w:t>所涉及面积约</w:t>
      </w:r>
      <w:r>
        <w:rPr>
          <w:rFonts w:hint="eastAsia" w:ascii="宋体" w:hAnsi="宋体" w:cs="Times New Roman"/>
          <w:snapToGrid w:val="0"/>
          <w:kern w:val="0"/>
          <w:szCs w:val="21"/>
          <w:highlight w:val="none"/>
          <w:u w:val="single"/>
          <w:lang w:val="en-US" w:eastAsia="zh-CN"/>
        </w:rPr>
        <w:t>10000</w:t>
      </w:r>
      <w:r>
        <w:rPr>
          <w:rFonts w:hint="eastAsia" w:ascii="宋体" w:hAnsi="宋体" w:eastAsia="宋体" w:cs="Times New Roman"/>
          <w:snapToGrid w:val="0"/>
          <w:kern w:val="0"/>
          <w:szCs w:val="21"/>
          <w:highlight w:val="none"/>
          <w:u w:val="single"/>
          <w:lang w:val="en-US" w:eastAsia="zh-CN"/>
        </w:rPr>
        <w:t>㎡</w:t>
      </w:r>
      <w:r>
        <w:rPr>
          <w:rFonts w:hint="eastAsia" w:ascii="宋体" w:hAnsi="宋体" w:cs="Times New Roman"/>
          <w:snapToGrid w:val="0"/>
          <w:kern w:val="0"/>
          <w:szCs w:val="21"/>
          <w:highlight w:val="none"/>
          <w:u w:val="single"/>
          <w:lang w:val="en-US" w:eastAsia="zh-CN"/>
        </w:rPr>
        <w:t>，</w:t>
      </w:r>
      <w:r>
        <w:rPr>
          <w:rFonts w:hint="eastAsia" w:ascii="宋体" w:hAnsi="宋体" w:eastAsia="宋体" w:cs="Times New Roman"/>
          <w:snapToGrid w:val="0"/>
          <w:kern w:val="0"/>
          <w:szCs w:val="21"/>
          <w:highlight w:val="none"/>
          <w:u w:val="single"/>
          <w:lang w:val="en-US" w:eastAsia="zh-CN"/>
        </w:rPr>
        <w:t>总金额暂定约</w:t>
      </w:r>
      <w:r>
        <w:rPr>
          <w:rFonts w:hint="eastAsia" w:ascii="宋体" w:hAnsi="宋体" w:cs="Times New Roman"/>
          <w:snapToGrid w:val="0"/>
          <w:kern w:val="0"/>
          <w:szCs w:val="21"/>
          <w:highlight w:val="none"/>
          <w:u w:val="single"/>
          <w:lang w:val="en-US" w:eastAsia="zh-CN"/>
        </w:rPr>
        <w:t>70.99</w:t>
      </w:r>
      <w:r>
        <w:rPr>
          <w:rFonts w:hint="eastAsia" w:ascii="宋体" w:hAnsi="宋体" w:eastAsia="宋体" w:cs="Times New Roman"/>
          <w:snapToGrid w:val="0"/>
          <w:kern w:val="0"/>
          <w:szCs w:val="21"/>
          <w:highlight w:val="none"/>
          <w:u w:val="single"/>
          <w:lang w:val="en-US" w:eastAsia="zh-CN"/>
        </w:rPr>
        <w:t>万元，最终以甲方确定为准。比选</w:t>
      </w:r>
      <w:r>
        <w:rPr>
          <w:rFonts w:hint="eastAsia" w:ascii="宋体" w:hAnsi="宋体" w:eastAsia="宋体" w:cs="Times New Roman"/>
          <w:snapToGrid w:val="0"/>
          <w:kern w:val="0"/>
          <w:sz w:val="21"/>
          <w:szCs w:val="21"/>
          <w:highlight w:val="none"/>
          <w:u w:val="single"/>
          <w:lang w:val="en-US" w:eastAsia="zh-CN" w:bidi="ar-SA"/>
        </w:rPr>
        <w:t>人拟通过围绕</w:t>
      </w:r>
      <w:r>
        <w:rPr>
          <w:rFonts w:hint="eastAsia" w:ascii="宋体" w:hAnsi="宋体" w:cs="Times New Roman"/>
          <w:snapToGrid w:val="0"/>
          <w:kern w:val="0"/>
          <w:sz w:val="21"/>
          <w:szCs w:val="21"/>
          <w:highlight w:val="none"/>
          <w:u w:val="single"/>
          <w:lang w:val="en-US" w:eastAsia="zh-CN" w:bidi="ar-SA"/>
        </w:rPr>
        <w:t>阿依河</w:t>
      </w:r>
      <w:r>
        <w:rPr>
          <w:rFonts w:hint="eastAsia" w:ascii="宋体" w:hAnsi="宋体" w:eastAsia="宋体" w:cs="Times New Roman"/>
          <w:snapToGrid w:val="0"/>
          <w:kern w:val="0"/>
          <w:sz w:val="21"/>
          <w:szCs w:val="21"/>
          <w:highlight w:val="none"/>
          <w:u w:val="single"/>
          <w:lang w:val="en-US" w:eastAsia="zh-CN" w:bidi="ar-SA"/>
        </w:rPr>
        <w:t>景区入口广场等核心节点开展主题艺术装置、</w:t>
      </w:r>
      <w:r>
        <w:rPr>
          <w:rFonts w:hint="eastAsia" w:ascii="宋体" w:hAnsi="宋体" w:cs="Times New Roman"/>
          <w:snapToGrid w:val="0"/>
          <w:kern w:val="0"/>
          <w:sz w:val="21"/>
          <w:szCs w:val="21"/>
          <w:highlight w:val="none"/>
          <w:u w:val="single"/>
          <w:lang w:val="en-US" w:eastAsia="zh-CN" w:bidi="ar-SA"/>
        </w:rPr>
        <w:t>展陈</w:t>
      </w:r>
      <w:r>
        <w:rPr>
          <w:rFonts w:hint="eastAsia" w:ascii="宋体" w:hAnsi="宋体" w:eastAsia="宋体" w:cs="Times New Roman"/>
          <w:snapToGrid w:val="0"/>
          <w:kern w:val="0"/>
          <w:sz w:val="21"/>
          <w:szCs w:val="21"/>
          <w:highlight w:val="none"/>
          <w:u w:val="single"/>
          <w:lang w:val="en-US" w:eastAsia="zh-CN" w:bidi="ar-SA"/>
        </w:rPr>
        <w:t>提质、沉浸式演艺场景与舞美工程等板块施工落地，融合彭水苗族民俗文化打造夜游沉浸式实景演艺空间。</w:t>
      </w:r>
    </w:p>
    <w:p w14:paraId="07CA5F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snapToGrid w:val="0"/>
          <w:kern w:val="0"/>
          <w:sz w:val="21"/>
          <w:szCs w:val="21"/>
          <w:highlight w:val="none"/>
          <w:u w:val="single"/>
          <w:lang w:val="en-US" w:eastAsia="zh-CN" w:bidi="ar-SA"/>
        </w:rPr>
      </w:pPr>
      <w:r>
        <w:rPr>
          <w:rFonts w:hint="eastAsia" w:ascii="宋体" w:hAnsi="宋体" w:eastAsia="宋体" w:cs="Times New Roman"/>
          <w:snapToGrid w:val="0"/>
          <w:kern w:val="0"/>
          <w:sz w:val="21"/>
          <w:szCs w:val="21"/>
          <w:highlight w:val="none"/>
          <w:u w:val="single"/>
          <w:lang w:val="en-US" w:eastAsia="zh-CN" w:bidi="ar-SA"/>
        </w:rPr>
        <w:t>主要改造内容如下：①艺术装置工程：结合本土苗家文化定制主题雕塑、互动体感装置、地标景观构筑物、实景布景构件制作安装，作为沉浸式演出固定实景布景载体。②</w:t>
      </w:r>
      <w:r>
        <w:rPr>
          <w:rFonts w:hint="eastAsia" w:ascii="宋体" w:hAnsi="宋体" w:cs="Times New Roman"/>
          <w:snapToGrid w:val="0"/>
          <w:kern w:val="0"/>
          <w:sz w:val="21"/>
          <w:szCs w:val="21"/>
          <w:highlight w:val="none"/>
          <w:u w:val="single"/>
          <w:lang w:val="en-US" w:eastAsia="zh-CN" w:bidi="ar-SA"/>
        </w:rPr>
        <w:t>展陈</w:t>
      </w:r>
      <w:r>
        <w:rPr>
          <w:rFonts w:hint="eastAsia" w:ascii="宋体" w:hAnsi="宋体" w:eastAsia="宋体" w:cs="Times New Roman"/>
          <w:snapToGrid w:val="0"/>
          <w:kern w:val="0"/>
          <w:sz w:val="21"/>
          <w:szCs w:val="21"/>
          <w:highlight w:val="none"/>
          <w:u w:val="single"/>
          <w:lang w:val="en-US" w:eastAsia="zh-CN" w:bidi="ar-SA"/>
        </w:rPr>
        <w:t>提升工程：节点绿化整理、铺装改造、休憩配套设施增设、场地环境整治，优化演艺观演动线、游客集散空间。③</w:t>
      </w:r>
      <w:r>
        <w:rPr>
          <w:rFonts w:hint="eastAsia" w:ascii="宋体" w:hAnsi="宋体"/>
          <w:snapToGrid w:val="0"/>
          <w:kern w:val="0"/>
          <w:szCs w:val="21"/>
          <w:highlight w:val="none"/>
          <w:u w:val="single"/>
          <w:lang w:val="en-US" w:eastAsia="zh-CN"/>
        </w:rPr>
        <w:t>沉浸式演艺场景</w:t>
      </w:r>
      <w:r>
        <w:rPr>
          <w:rFonts w:hint="eastAsia" w:ascii="宋体" w:hAnsi="宋体" w:eastAsia="宋体" w:cs="Times New Roman"/>
          <w:snapToGrid w:val="0"/>
          <w:kern w:val="0"/>
          <w:sz w:val="21"/>
          <w:szCs w:val="21"/>
          <w:highlight w:val="none"/>
          <w:u w:val="single"/>
          <w:lang w:val="en-US" w:eastAsia="zh-CN" w:bidi="ar-SA"/>
        </w:rPr>
        <w:t>：依据项目文旅策划方案完成户外沉浸式实景分区场景搭建、实景造景、山体/崖壁布景、虚实结合布景制作安装，划分主演艺区、互动巡游区、观众观演区</w:t>
      </w:r>
      <w:r>
        <w:rPr>
          <w:rFonts w:hint="eastAsia" w:ascii="宋体" w:hAnsi="宋体" w:cs="Times New Roman"/>
          <w:snapToGrid w:val="0"/>
          <w:kern w:val="0"/>
          <w:sz w:val="21"/>
          <w:szCs w:val="21"/>
          <w:highlight w:val="none"/>
          <w:u w:val="single"/>
          <w:lang w:val="en-US" w:eastAsia="zh-CN" w:bidi="ar-SA"/>
        </w:rPr>
        <w:t>。</w:t>
      </w:r>
    </w:p>
    <w:p w14:paraId="573F5F11">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b/>
          <w:bCs/>
          <w:snapToGrid w:val="0"/>
          <w:kern w:val="0"/>
          <w:szCs w:val="21"/>
          <w:highlight w:val="none"/>
        </w:rPr>
        <w:t>2.3比选范围</w:t>
      </w:r>
      <w:r>
        <w:rPr>
          <w:rFonts w:hint="eastAsia" w:ascii="宋体" w:hAnsi="宋体"/>
          <w:b/>
          <w:bCs/>
          <w:snapToGrid w:val="0"/>
          <w:kern w:val="0"/>
          <w:szCs w:val="21"/>
          <w:highlight w:val="none"/>
          <w:lang w:val="en-US" w:eastAsia="zh-CN"/>
        </w:rPr>
        <w:t>及服务内容</w:t>
      </w:r>
      <w:r>
        <w:rPr>
          <w:rFonts w:hint="eastAsia" w:ascii="宋体" w:hAnsi="宋体"/>
          <w:b/>
          <w:bCs/>
          <w:snapToGrid w:val="0"/>
          <w:kern w:val="0"/>
          <w:szCs w:val="21"/>
          <w:highlight w:val="none"/>
        </w:rPr>
        <w:t>：</w:t>
      </w:r>
      <w:r>
        <w:rPr>
          <w:rFonts w:hint="eastAsia" w:ascii="宋体" w:hAnsi="宋体"/>
          <w:snapToGrid w:val="0"/>
          <w:kern w:val="0"/>
          <w:szCs w:val="21"/>
          <w:highlight w:val="none"/>
          <w:u w:val="single"/>
          <w:lang w:val="en-US" w:eastAsia="zh-CN"/>
        </w:rPr>
        <w:t>主要包括准备阶段，设计阶段，施工阶段，具体范围为：</w:t>
      </w:r>
    </w:p>
    <w:p w14:paraId="1276A0F2">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2.3.1准备阶段工作内容</w:t>
      </w:r>
    </w:p>
    <w:p w14:paraId="25FE9141">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本项目的前期现场勘察（测绘、摸底），包括但不限于对设计所涉区域的原始资料搜集（阿依河景区岩头坝区域地形图、阿依河景区相关楼栋竣工图等）、必要的现状补充测绘、评估等。</w:t>
      </w:r>
    </w:p>
    <w:p w14:paraId="532567B3">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2.3.2设计阶段工作内容</w:t>
      </w:r>
    </w:p>
    <w:p w14:paraId="1D6D6660">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根据比选人指定的本次</w:t>
      </w:r>
      <w:r>
        <w:rPr>
          <w:rFonts w:hint="eastAsia" w:ascii="宋体" w:hAnsi="宋体" w:cs="Times New Roman"/>
          <w:snapToGrid w:val="0"/>
          <w:kern w:val="0"/>
          <w:szCs w:val="21"/>
          <w:highlight w:val="none"/>
          <w:u w:val="single"/>
          <w:lang w:val="en-US" w:eastAsia="zh-CN"/>
        </w:rPr>
        <w:t>阿依河景区重要节点艺术装置及展陈提升</w:t>
      </w:r>
      <w:r>
        <w:rPr>
          <w:rFonts w:hint="eastAsia" w:ascii="宋体" w:hAnsi="宋体"/>
          <w:snapToGrid w:val="0"/>
          <w:kern w:val="0"/>
          <w:szCs w:val="21"/>
          <w:highlight w:val="none"/>
          <w:u w:val="single"/>
          <w:lang w:val="en-US" w:eastAsia="zh-CN"/>
        </w:rPr>
        <w:t>所涉及的范围完成设计，同时编制工程预算清单，并报比选人审批。设计成果应包含效果图展示、重要装置（节点装置、展陈装置）大样设计等内容，设计深度应达到编制工程预算清单深度。</w:t>
      </w:r>
    </w:p>
    <w:p w14:paraId="0CFBEEE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u w:val="single"/>
          <w:lang w:val="en-US" w:eastAsia="zh-CN"/>
        </w:rPr>
      </w:pPr>
      <w:r>
        <w:rPr>
          <w:rFonts w:hint="eastAsia" w:ascii="宋体" w:hAnsi="宋体" w:eastAsia="宋体" w:cs="宋体"/>
          <w:u w:val="single"/>
        </w:rPr>
        <w:t>融合彭水苗族民俗文化打造夜游沉浸式实景演艺空间</w:t>
      </w:r>
      <w:r>
        <w:rPr>
          <w:rFonts w:hint="eastAsia" w:ascii="宋体" w:hAnsi="宋体" w:cs="宋体"/>
          <w:u w:val="single"/>
          <w:lang w:eastAsia="zh-CN"/>
        </w:rPr>
        <w:t>，</w:t>
      </w:r>
      <w:r>
        <w:rPr>
          <w:rFonts w:hint="eastAsia" w:ascii="宋体" w:hAnsi="宋体" w:cs="宋体"/>
          <w:u w:val="single"/>
          <w:lang w:val="en-US" w:eastAsia="zh-CN"/>
        </w:rPr>
        <w:t>配合沉浸式演艺场景中的演出呈现、场景调度，以及夜景灯饰、声光电等要素展现，对阿依河景区岩头坝区域的部分重要展陈景观节点进行改造升级，内容包括但不限于：设置</w:t>
      </w:r>
      <w:r>
        <w:rPr>
          <w:rFonts w:hint="eastAsia" w:ascii="宋体" w:hAnsi="宋体" w:eastAsia="宋体" w:cs="宋体"/>
          <w:u w:val="single"/>
          <w:lang w:val="en-US" w:eastAsia="zh-CN"/>
        </w:rPr>
        <w:t>大型机械装置（数控+机械体外延立体装饰+大型仿真道具+移动灯光）</w:t>
      </w:r>
      <w:r>
        <w:rPr>
          <w:rFonts w:hint="eastAsia" w:ascii="宋体" w:hAnsi="宋体" w:cs="宋体"/>
          <w:u w:val="single"/>
          <w:lang w:val="en-US" w:eastAsia="zh-CN"/>
        </w:rPr>
        <w:t>；</w:t>
      </w:r>
      <w:r>
        <w:rPr>
          <w:rFonts w:hint="eastAsia" w:ascii="宋体" w:hAnsi="宋体" w:eastAsia="宋体" w:cs="宋体"/>
          <w:u w:val="single"/>
          <w:lang w:val="en-US" w:eastAsia="zh-CN"/>
        </w:rPr>
        <w:t>改造现有建筑外观及窗户</w:t>
      </w:r>
      <w:r>
        <w:rPr>
          <w:rFonts w:hint="eastAsia" w:ascii="宋体" w:hAnsi="宋体" w:cs="宋体"/>
          <w:u w:val="single"/>
          <w:lang w:val="en-US" w:eastAsia="zh-CN"/>
        </w:rPr>
        <w:t>；设置</w:t>
      </w:r>
      <w:r>
        <w:rPr>
          <w:rFonts w:hint="eastAsia" w:ascii="宋体" w:hAnsi="宋体" w:eastAsia="宋体" w:cs="宋体"/>
          <w:u w:val="single"/>
          <w:lang w:val="en-US" w:eastAsia="zh-CN"/>
        </w:rPr>
        <w:t>多层次具有地域特色舞台及苗族标志性装置，改造绿化带营造景美、人美的自然和谐氛围</w:t>
      </w:r>
      <w:r>
        <w:rPr>
          <w:rFonts w:hint="eastAsia" w:ascii="宋体" w:hAnsi="宋体" w:cs="宋体"/>
          <w:u w:val="single"/>
          <w:lang w:val="en-US" w:eastAsia="zh-CN"/>
        </w:rPr>
        <w:t>；设置</w:t>
      </w:r>
      <w:r>
        <w:rPr>
          <w:rFonts w:hint="eastAsia" w:ascii="宋体" w:hAnsi="宋体" w:eastAsia="宋体" w:cs="宋体"/>
          <w:u w:val="single"/>
          <w:lang w:val="en-US" w:eastAsia="zh-CN"/>
        </w:rPr>
        <w:t>仿真动、植物，动态自发光，营造唯美、静谧氛围</w:t>
      </w:r>
      <w:r>
        <w:rPr>
          <w:rFonts w:hint="eastAsia" w:ascii="宋体" w:hAnsi="宋体" w:cs="宋体"/>
          <w:u w:val="single"/>
          <w:lang w:val="en-US" w:eastAsia="zh-CN"/>
        </w:rPr>
        <w:t>；设置祭台（</w:t>
      </w:r>
      <w:r>
        <w:rPr>
          <w:rFonts w:hint="eastAsia" w:ascii="宋体" w:hAnsi="宋体" w:eastAsia="宋体" w:cs="宋体"/>
          <w:u w:val="single"/>
          <w:lang w:val="en-US" w:eastAsia="zh-CN"/>
        </w:rPr>
        <w:t>具有地域特色、富含苗族古老文化特色的多层次舞台，增加图腾及图腾柱等标志性装置</w:t>
      </w:r>
      <w:r>
        <w:rPr>
          <w:rFonts w:hint="eastAsia" w:ascii="宋体" w:hAnsi="宋体" w:cs="宋体"/>
          <w:u w:val="single"/>
          <w:lang w:val="en-US" w:eastAsia="zh-CN"/>
        </w:rPr>
        <w:t>）；改造现有固定舞台（</w:t>
      </w:r>
      <w:r>
        <w:rPr>
          <w:rFonts w:hint="eastAsia" w:ascii="宋体" w:hAnsi="宋体" w:eastAsia="宋体" w:cs="宋体"/>
          <w:u w:val="single"/>
          <w:lang w:val="en-US" w:eastAsia="zh-CN"/>
        </w:rPr>
        <w:t>增加地域、文化特色的布景装置</w:t>
      </w:r>
      <w:r>
        <w:rPr>
          <w:rFonts w:hint="eastAsia" w:ascii="宋体" w:hAnsi="宋体" w:cs="宋体"/>
          <w:u w:val="single"/>
          <w:lang w:val="en-US" w:eastAsia="zh-CN"/>
        </w:rPr>
        <w:t>）；设置可移动小舞台；对酒店入口处建筑进行复古改造（</w:t>
      </w:r>
      <w:r>
        <w:rPr>
          <w:rFonts w:hint="eastAsia" w:ascii="宋体" w:hAnsi="宋体" w:eastAsia="宋体" w:cs="宋体"/>
          <w:u w:val="single"/>
          <w:lang w:val="en-US" w:eastAsia="zh-CN"/>
        </w:rPr>
        <w:t>增加室外与阁楼连接楼梯、苗族民族元素、全息投影装置</w:t>
      </w:r>
      <w:r>
        <w:rPr>
          <w:rFonts w:hint="eastAsia" w:ascii="宋体" w:hAnsi="宋体" w:cs="宋体"/>
          <w:u w:val="single"/>
          <w:lang w:val="en-US" w:eastAsia="zh-CN"/>
        </w:rPr>
        <w:t>）；设置多层高台瞭望塔（体现</w:t>
      </w:r>
      <w:r>
        <w:rPr>
          <w:rFonts w:hint="eastAsia" w:ascii="宋体" w:hAnsi="宋体" w:eastAsia="宋体" w:cs="宋体"/>
          <w:u w:val="single"/>
          <w:lang w:val="en-US" w:eastAsia="zh-CN"/>
        </w:rPr>
        <w:t>原始</w:t>
      </w:r>
      <w:r>
        <w:rPr>
          <w:rFonts w:hint="eastAsia" w:ascii="宋体" w:hAnsi="宋体" w:cs="宋体"/>
          <w:u w:val="single"/>
          <w:lang w:val="en-US" w:eastAsia="zh-CN"/>
        </w:rPr>
        <w:t>苗乡</w:t>
      </w:r>
      <w:r>
        <w:rPr>
          <w:rFonts w:hint="eastAsia" w:ascii="宋体" w:hAnsi="宋体" w:eastAsia="宋体" w:cs="宋体"/>
          <w:u w:val="single"/>
          <w:lang w:val="en-US" w:eastAsia="zh-CN"/>
        </w:rPr>
        <w:t>风情</w:t>
      </w:r>
      <w:r>
        <w:rPr>
          <w:rFonts w:hint="eastAsia" w:ascii="宋体" w:hAnsi="宋体" w:cs="宋体"/>
          <w:u w:val="single"/>
          <w:lang w:val="en-US" w:eastAsia="zh-CN"/>
        </w:rPr>
        <w:t>）；改造现有篝火广场（打造</w:t>
      </w:r>
      <w:r>
        <w:rPr>
          <w:rFonts w:hint="eastAsia" w:ascii="宋体" w:hAnsi="宋体" w:eastAsia="宋体" w:cs="宋体"/>
          <w:u w:val="single"/>
          <w:lang w:val="en-US" w:eastAsia="zh-CN"/>
        </w:rPr>
        <w:t>具有地域感的多层固定平台</w:t>
      </w:r>
      <w:r>
        <w:rPr>
          <w:rFonts w:hint="eastAsia" w:ascii="宋体" w:hAnsi="宋体" w:cs="宋体"/>
          <w:u w:val="single"/>
          <w:lang w:val="en-US" w:eastAsia="zh-CN"/>
        </w:rPr>
        <w:t>，中心安装升降装置）。对以上内容进行设计，成果应符合比选人审查要求。</w:t>
      </w:r>
    </w:p>
    <w:p w14:paraId="576FD1B7">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2.3.3施工阶段工作内容</w:t>
      </w:r>
    </w:p>
    <w:p w14:paraId="2178C07F">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根据比选人审定的设计图、预算等文件进行样改造施工，内容包括但不限于以下内容：</w:t>
      </w:r>
      <w:r>
        <w:rPr>
          <w:rFonts w:hint="eastAsia" w:ascii="宋体" w:hAnsi="宋体" w:cs="宋体"/>
          <w:u w:val="single"/>
          <w:lang w:val="en-US" w:eastAsia="zh-CN"/>
        </w:rPr>
        <w:t>设置</w:t>
      </w:r>
      <w:r>
        <w:rPr>
          <w:rFonts w:hint="eastAsia" w:ascii="宋体" w:hAnsi="宋体" w:eastAsia="宋体" w:cs="宋体"/>
          <w:u w:val="single"/>
          <w:lang w:val="en-US" w:eastAsia="zh-CN"/>
        </w:rPr>
        <w:t>大型机械装置（数控+机械体外延立体装饰+大型仿真道具+移动灯光）</w:t>
      </w:r>
      <w:r>
        <w:rPr>
          <w:rFonts w:hint="eastAsia" w:ascii="宋体" w:hAnsi="宋体" w:cs="宋体"/>
          <w:u w:val="single"/>
          <w:lang w:val="en-US" w:eastAsia="zh-CN"/>
        </w:rPr>
        <w:t>；</w:t>
      </w:r>
      <w:r>
        <w:rPr>
          <w:rFonts w:hint="eastAsia" w:ascii="宋体" w:hAnsi="宋体" w:eastAsia="宋体" w:cs="宋体"/>
          <w:u w:val="single"/>
          <w:lang w:val="en-US" w:eastAsia="zh-CN"/>
        </w:rPr>
        <w:t>改造现有建筑外观及窗户</w:t>
      </w:r>
      <w:r>
        <w:rPr>
          <w:rFonts w:hint="eastAsia" w:ascii="宋体" w:hAnsi="宋体" w:cs="宋体"/>
          <w:u w:val="single"/>
          <w:lang w:val="en-US" w:eastAsia="zh-CN"/>
        </w:rPr>
        <w:t>；设置</w:t>
      </w:r>
      <w:r>
        <w:rPr>
          <w:rFonts w:hint="eastAsia" w:ascii="宋体" w:hAnsi="宋体" w:eastAsia="宋体" w:cs="宋体"/>
          <w:u w:val="single"/>
          <w:lang w:val="en-US" w:eastAsia="zh-CN"/>
        </w:rPr>
        <w:t>多层次具有地域特色舞台及苗族标志性装置，改造绿化带营造景美、人美的自然和谐氛围</w:t>
      </w:r>
      <w:r>
        <w:rPr>
          <w:rFonts w:hint="eastAsia" w:ascii="宋体" w:hAnsi="宋体" w:cs="宋体"/>
          <w:u w:val="single"/>
          <w:lang w:val="en-US" w:eastAsia="zh-CN"/>
        </w:rPr>
        <w:t>；设置</w:t>
      </w:r>
      <w:r>
        <w:rPr>
          <w:rFonts w:hint="eastAsia" w:ascii="宋体" w:hAnsi="宋体" w:eastAsia="宋体" w:cs="宋体"/>
          <w:u w:val="single"/>
          <w:lang w:val="en-US" w:eastAsia="zh-CN"/>
        </w:rPr>
        <w:t>仿真动、植物，动态自发光，营造唯美、静谧氛围</w:t>
      </w:r>
      <w:r>
        <w:rPr>
          <w:rFonts w:hint="eastAsia" w:ascii="宋体" w:hAnsi="宋体" w:cs="宋体"/>
          <w:u w:val="single"/>
          <w:lang w:val="en-US" w:eastAsia="zh-CN"/>
        </w:rPr>
        <w:t>；设置祭台（</w:t>
      </w:r>
      <w:r>
        <w:rPr>
          <w:rFonts w:hint="eastAsia" w:ascii="宋体" w:hAnsi="宋体" w:eastAsia="宋体" w:cs="宋体"/>
          <w:u w:val="single"/>
          <w:lang w:val="en-US" w:eastAsia="zh-CN"/>
        </w:rPr>
        <w:t>具有地域特色、富含苗族古老文化特色的多层次舞台，增加图腾及图腾柱等标志性装置</w:t>
      </w:r>
      <w:r>
        <w:rPr>
          <w:rFonts w:hint="eastAsia" w:ascii="宋体" w:hAnsi="宋体" w:cs="宋体"/>
          <w:u w:val="single"/>
          <w:lang w:val="en-US" w:eastAsia="zh-CN"/>
        </w:rPr>
        <w:t>）；改造现有固定舞台（</w:t>
      </w:r>
      <w:r>
        <w:rPr>
          <w:rFonts w:hint="eastAsia" w:ascii="宋体" w:hAnsi="宋体" w:eastAsia="宋体" w:cs="宋体"/>
          <w:u w:val="single"/>
          <w:lang w:val="en-US" w:eastAsia="zh-CN"/>
        </w:rPr>
        <w:t>增加地域、文化特色的布景装置</w:t>
      </w:r>
      <w:r>
        <w:rPr>
          <w:rFonts w:hint="eastAsia" w:ascii="宋体" w:hAnsi="宋体" w:cs="宋体"/>
          <w:u w:val="single"/>
          <w:lang w:val="en-US" w:eastAsia="zh-CN"/>
        </w:rPr>
        <w:t>）；设置可移动小舞台；对酒店入口处建筑进行复古改造（</w:t>
      </w:r>
      <w:r>
        <w:rPr>
          <w:rFonts w:hint="eastAsia" w:ascii="宋体" w:hAnsi="宋体" w:eastAsia="宋体" w:cs="宋体"/>
          <w:u w:val="single"/>
          <w:lang w:val="en-US" w:eastAsia="zh-CN"/>
        </w:rPr>
        <w:t>增加室外与阁楼连接楼梯、苗族民族元素、全息投影装置</w:t>
      </w:r>
      <w:r>
        <w:rPr>
          <w:rFonts w:hint="eastAsia" w:ascii="宋体" w:hAnsi="宋体" w:cs="宋体"/>
          <w:u w:val="single"/>
          <w:lang w:val="en-US" w:eastAsia="zh-CN"/>
        </w:rPr>
        <w:t>）；设置多层高台瞭望塔（体现</w:t>
      </w:r>
      <w:r>
        <w:rPr>
          <w:rFonts w:hint="eastAsia" w:ascii="宋体" w:hAnsi="宋体" w:eastAsia="宋体" w:cs="宋体"/>
          <w:u w:val="single"/>
          <w:lang w:val="en-US" w:eastAsia="zh-CN"/>
        </w:rPr>
        <w:t>原始</w:t>
      </w:r>
      <w:r>
        <w:rPr>
          <w:rFonts w:hint="eastAsia" w:ascii="宋体" w:hAnsi="宋体" w:cs="宋体"/>
          <w:u w:val="single"/>
          <w:lang w:val="en-US" w:eastAsia="zh-CN"/>
        </w:rPr>
        <w:t>苗乡</w:t>
      </w:r>
      <w:r>
        <w:rPr>
          <w:rFonts w:hint="eastAsia" w:ascii="宋体" w:hAnsi="宋体" w:eastAsia="宋体" w:cs="宋体"/>
          <w:u w:val="single"/>
          <w:lang w:val="en-US" w:eastAsia="zh-CN"/>
        </w:rPr>
        <w:t>风情</w:t>
      </w:r>
      <w:r>
        <w:rPr>
          <w:rFonts w:hint="eastAsia" w:ascii="宋体" w:hAnsi="宋体" w:cs="宋体"/>
          <w:u w:val="single"/>
          <w:lang w:val="en-US" w:eastAsia="zh-CN"/>
        </w:rPr>
        <w:t>）；改造现有篝火广场（打造</w:t>
      </w:r>
      <w:r>
        <w:rPr>
          <w:rFonts w:hint="eastAsia" w:ascii="宋体" w:hAnsi="宋体" w:eastAsia="宋体" w:cs="宋体"/>
          <w:u w:val="single"/>
          <w:lang w:val="en-US" w:eastAsia="zh-CN"/>
        </w:rPr>
        <w:t>具有地域感的多层固定平台</w:t>
      </w:r>
      <w:r>
        <w:rPr>
          <w:rFonts w:hint="eastAsia" w:ascii="宋体" w:hAnsi="宋体" w:cs="宋体"/>
          <w:u w:val="single"/>
          <w:lang w:val="en-US" w:eastAsia="zh-CN"/>
        </w:rPr>
        <w:t>，中心安装升降装置）。</w:t>
      </w:r>
      <w:r>
        <w:rPr>
          <w:rFonts w:hint="eastAsia" w:ascii="宋体" w:hAnsi="宋体"/>
          <w:snapToGrid w:val="0"/>
          <w:kern w:val="0"/>
          <w:szCs w:val="21"/>
          <w:highlight w:val="none"/>
          <w:u w:val="single"/>
          <w:lang w:val="en-US" w:eastAsia="zh-CN"/>
        </w:rPr>
        <w:t>以及为满足工程施工与经营相配套所需完成的场地准备、临时设施设备等相关工作，包括但不限于临时通道搭设、临时用水、临时用电、临时排水排污、临时开口、原有装饰材料拆除清运（如有）等工作，及为确保安全文明施工的各项保障措施、工作。</w:t>
      </w:r>
    </w:p>
    <w:p w14:paraId="17F1D465">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default" w:ascii="宋体" w:hAnsi="宋体" w:eastAsia="宋体"/>
          <w:b/>
          <w:bCs/>
          <w:snapToGrid w:val="0"/>
          <w:kern w:val="0"/>
          <w:szCs w:val="21"/>
          <w:highlight w:val="none"/>
          <w:lang w:val="en-US" w:eastAsia="zh-CN"/>
        </w:rPr>
      </w:pPr>
      <w:r>
        <w:rPr>
          <w:rFonts w:hint="eastAsia" w:ascii="宋体" w:hAnsi="宋体"/>
          <w:b/>
          <w:bCs/>
          <w:snapToGrid w:val="0"/>
          <w:kern w:val="0"/>
          <w:szCs w:val="21"/>
          <w:highlight w:val="none"/>
        </w:rPr>
        <w:t>2.4工期要求：</w:t>
      </w:r>
    </w:p>
    <w:p w14:paraId="245A9711">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ascii="宋体" w:hAnsi="宋体"/>
          <w:snapToGrid w:val="0"/>
          <w:kern w:val="0"/>
          <w:szCs w:val="21"/>
          <w:highlight w:val="none"/>
          <w:u w:val="single"/>
        </w:rPr>
      </w:pPr>
      <w:r>
        <w:rPr>
          <w:rFonts w:hint="eastAsia" w:ascii="宋体" w:hAnsi="宋体"/>
          <w:snapToGrid w:val="0"/>
          <w:kern w:val="0"/>
          <w:szCs w:val="21"/>
          <w:highlight w:val="none"/>
          <w:u w:val="single"/>
        </w:rPr>
        <w:t>中选人在收到比选人开展阶段性或单个专业或区域设计工作通知后</w:t>
      </w:r>
      <w:r>
        <w:rPr>
          <w:rFonts w:hint="eastAsia" w:ascii="宋体" w:hAnsi="宋体"/>
          <w:snapToGrid w:val="0"/>
          <w:kern w:val="0"/>
          <w:szCs w:val="21"/>
          <w:highlight w:val="none"/>
          <w:u w:val="single"/>
          <w:lang w:val="en-US" w:eastAsia="zh-CN"/>
        </w:rPr>
        <w:t>1</w:t>
      </w:r>
      <w:r>
        <w:rPr>
          <w:rFonts w:hint="eastAsia" w:ascii="宋体" w:hAnsi="宋体"/>
          <w:snapToGrid w:val="0"/>
          <w:kern w:val="0"/>
          <w:szCs w:val="21"/>
          <w:highlight w:val="none"/>
          <w:u w:val="single"/>
        </w:rPr>
        <w:t>个自然日内完成</w:t>
      </w:r>
      <w:r>
        <w:rPr>
          <w:rFonts w:hint="eastAsia" w:ascii="宋体" w:hAnsi="宋体"/>
          <w:snapToGrid w:val="0"/>
          <w:kern w:val="0"/>
          <w:szCs w:val="21"/>
          <w:highlight w:val="none"/>
          <w:u w:val="single"/>
          <w:lang w:val="en-US" w:eastAsia="zh-CN"/>
        </w:rPr>
        <w:t>对本次设计所涉及区域现状的勘测、调查、评估（准备阶段）；在现状勘测工作完成后3自然日内完成本次设计所涉及区域的设计及预算编制（设计阶段）；在比选人明确设计和预算后，在10个自然日内完成施工（施工阶段）。</w:t>
      </w:r>
      <w:r>
        <w:rPr>
          <w:rFonts w:hint="eastAsia" w:ascii="宋体" w:hAnsi="宋体"/>
          <w:snapToGrid w:val="0"/>
          <w:kern w:val="0"/>
          <w:szCs w:val="21"/>
          <w:highlight w:val="none"/>
          <w:u w:val="single"/>
        </w:rPr>
        <w:t>最终完成时限根据项目实际情况以及比选人要求确定。</w:t>
      </w:r>
    </w:p>
    <w:p w14:paraId="09C4174D">
      <w:pPr>
        <w:pStyle w:val="4"/>
        <w:pageBreakBefore w:val="0"/>
        <w:widowControl w:val="0"/>
        <w:kinsoku/>
        <w:wordWrap/>
        <w:overflowPunct/>
        <w:topLinePunct w:val="0"/>
        <w:bidi w:val="0"/>
        <w:spacing w:before="0" w:after="0" w:line="400" w:lineRule="exact"/>
        <w:textAlignment w:val="auto"/>
        <w:rPr>
          <w:rFonts w:ascii="宋体" w:hAnsi="宋体"/>
          <w:snapToGrid w:val="0"/>
          <w:sz w:val="28"/>
          <w:szCs w:val="28"/>
          <w:highlight w:val="none"/>
        </w:rPr>
      </w:pPr>
      <w:r>
        <w:rPr>
          <w:rFonts w:hint="eastAsia" w:ascii="宋体" w:hAnsi="宋体"/>
          <w:snapToGrid w:val="0"/>
          <w:sz w:val="28"/>
          <w:szCs w:val="28"/>
          <w:highlight w:val="none"/>
          <w:lang w:val="en-US" w:eastAsia="zh-CN"/>
        </w:rPr>
        <w:t>3.</w:t>
      </w:r>
      <w:r>
        <w:rPr>
          <w:rFonts w:ascii="宋体" w:hAnsi="宋体"/>
          <w:snapToGrid w:val="0"/>
          <w:sz w:val="28"/>
          <w:szCs w:val="28"/>
          <w:highlight w:val="none"/>
        </w:rPr>
        <w:t>参选人资格要求</w:t>
      </w:r>
    </w:p>
    <w:p w14:paraId="30FAD1B9">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2" w:firstLineChars="200"/>
        <w:jc w:val="left"/>
        <w:textAlignment w:val="auto"/>
        <w:outlineLvl w:val="2"/>
        <w:rPr>
          <w:rFonts w:hint="eastAsia" w:ascii="宋体" w:hAnsi="宋体" w:eastAsia="宋体"/>
          <w:b/>
          <w:bCs/>
          <w:snapToGrid w:val="0"/>
          <w:kern w:val="0"/>
          <w:szCs w:val="21"/>
          <w:highlight w:val="none"/>
          <w:lang w:eastAsia="zh-CN"/>
        </w:rPr>
      </w:pPr>
      <w:r>
        <w:rPr>
          <w:rFonts w:hint="eastAsia" w:ascii="宋体" w:hAnsi="宋体"/>
          <w:b/>
          <w:bCs/>
          <w:snapToGrid w:val="0"/>
          <w:kern w:val="0"/>
          <w:szCs w:val="21"/>
          <w:highlight w:val="none"/>
        </w:rPr>
        <w:t>3.1资质条件</w:t>
      </w:r>
      <w:r>
        <w:rPr>
          <w:rFonts w:hint="eastAsia" w:ascii="宋体" w:hAnsi="宋体"/>
          <w:b/>
          <w:bCs/>
          <w:snapToGrid w:val="0"/>
          <w:kern w:val="0"/>
          <w:szCs w:val="21"/>
          <w:highlight w:val="none"/>
          <w:lang w:eastAsia="zh-CN"/>
        </w:rPr>
        <w:t>：</w:t>
      </w:r>
    </w:p>
    <w:p w14:paraId="40F3F057">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ascii="宋体" w:hAnsi="宋体"/>
          <w:snapToGrid w:val="0"/>
          <w:kern w:val="0"/>
          <w:szCs w:val="21"/>
          <w:highlight w:val="none"/>
          <w:u w:val="single"/>
        </w:rPr>
      </w:pPr>
      <w:r>
        <w:rPr>
          <w:rFonts w:hint="eastAsia"/>
          <w:highlight w:val="none"/>
          <w:u w:val="single"/>
          <w:lang w:eastAsia="zh-CN"/>
        </w:rPr>
        <w:t>参选人</w:t>
      </w:r>
      <w:r>
        <w:rPr>
          <w:rFonts w:hint="eastAsia"/>
          <w:highlight w:val="none"/>
          <w:u w:val="single"/>
        </w:rPr>
        <w:t>须具有独立承担民事责任的能力，具有有效的营业执照</w:t>
      </w:r>
      <w:r>
        <w:rPr>
          <w:rFonts w:hint="eastAsia" w:ascii="宋体" w:hAnsi="宋体"/>
          <w:snapToGrid w:val="0"/>
          <w:kern w:val="0"/>
          <w:szCs w:val="21"/>
          <w:highlight w:val="none"/>
          <w:u w:val="single"/>
        </w:rPr>
        <w:t>（须提供有效的营业执照，加盖单位公章，原件备查）</w:t>
      </w:r>
      <w:r>
        <w:rPr>
          <w:rFonts w:hint="eastAsia" w:ascii="宋体" w:hAnsi="宋体"/>
          <w:snapToGrid w:val="0"/>
          <w:kern w:val="0"/>
          <w:szCs w:val="21"/>
          <w:highlight w:val="none"/>
          <w:u w:val="single"/>
          <w:lang w:eastAsia="zh-CN"/>
        </w:rPr>
        <w:t>，</w:t>
      </w:r>
      <w:r>
        <w:rPr>
          <w:rFonts w:hint="eastAsia" w:ascii="宋体" w:hAnsi="宋体"/>
          <w:snapToGrid w:val="0"/>
          <w:kern w:val="0"/>
          <w:szCs w:val="21"/>
          <w:highlight w:val="none"/>
          <w:u w:val="single"/>
          <w:lang w:val="en-US" w:eastAsia="zh-CN"/>
        </w:rPr>
        <w:t>且营业执照经营范围中应包含广告或艺术或展陈等类似经营范围</w:t>
      </w:r>
      <w:r>
        <w:rPr>
          <w:rFonts w:hint="eastAsia"/>
          <w:highlight w:val="none"/>
          <w:u w:val="single"/>
        </w:rPr>
        <w:t>；</w:t>
      </w:r>
    </w:p>
    <w:p w14:paraId="61A9A16F">
      <w:pPr>
        <w:pageBreakBefore w:val="0"/>
        <w:widowControl w:val="0"/>
        <w:kinsoku/>
        <w:wordWrap/>
        <w:overflowPunct/>
        <w:topLinePunct w:val="0"/>
        <w:bidi w:val="0"/>
        <w:spacing w:line="400" w:lineRule="exact"/>
        <w:ind w:firstLine="422" w:firstLineChars="200"/>
        <w:textAlignment w:val="auto"/>
        <w:outlineLvl w:val="2"/>
        <w:rPr>
          <w:b/>
          <w:bCs/>
          <w:highlight w:val="none"/>
        </w:rPr>
      </w:pPr>
      <w:r>
        <w:rPr>
          <w:rFonts w:hint="eastAsia"/>
          <w:b/>
          <w:bCs/>
          <w:highlight w:val="none"/>
        </w:rPr>
        <w:t>3.2</w:t>
      </w:r>
      <w:r>
        <w:rPr>
          <w:b/>
          <w:bCs/>
          <w:highlight w:val="none"/>
        </w:rPr>
        <w:t>.</w:t>
      </w:r>
      <w:r>
        <w:rPr>
          <w:rFonts w:hint="eastAsia"/>
          <w:b/>
          <w:bCs/>
          <w:highlight w:val="none"/>
          <w:lang w:eastAsia="zh-CN"/>
        </w:rPr>
        <w:t>参选人</w:t>
      </w:r>
      <w:r>
        <w:rPr>
          <w:rFonts w:hint="eastAsia"/>
          <w:b/>
          <w:bCs/>
          <w:highlight w:val="none"/>
        </w:rPr>
        <w:t>自行承诺（格式自拟）不得存在下列情形之一：</w:t>
      </w:r>
    </w:p>
    <w:p w14:paraId="546F5472">
      <w:pPr>
        <w:pageBreakBefore w:val="0"/>
        <w:widowControl w:val="0"/>
        <w:kinsoku/>
        <w:wordWrap/>
        <w:overflowPunct/>
        <w:topLinePunct w:val="0"/>
        <w:bidi w:val="0"/>
        <w:spacing w:line="400" w:lineRule="exact"/>
        <w:ind w:firstLine="420" w:firstLineChars="200"/>
        <w:textAlignment w:val="auto"/>
        <w:rPr>
          <w:highlight w:val="none"/>
          <w:u w:val="single"/>
        </w:rPr>
      </w:pPr>
      <w:r>
        <w:rPr>
          <w:rFonts w:hint="eastAsia"/>
          <w:highlight w:val="none"/>
          <w:u w:val="single"/>
        </w:rPr>
        <w:t>（</w:t>
      </w:r>
      <w:r>
        <w:rPr>
          <w:highlight w:val="none"/>
          <w:u w:val="single"/>
        </w:rPr>
        <w:t>1）被人民法院在“信用中国”网站（www.creditchina.gov.cn）列入失信被执行人名单且在被执行期内；</w:t>
      </w:r>
    </w:p>
    <w:p w14:paraId="1088FCA7">
      <w:pPr>
        <w:pageBreakBefore w:val="0"/>
        <w:widowControl w:val="0"/>
        <w:kinsoku/>
        <w:wordWrap/>
        <w:overflowPunct/>
        <w:topLinePunct w:val="0"/>
        <w:bidi w:val="0"/>
        <w:spacing w:line="400" w:lineRule="exact"/>
        <w:ind w:firstLine="420" w:firstLineChars="200"/>
        <w:textAlignment w:val="auto"/>
        <w:rPr>
          <w:highlight w:val="none"/>
          <w:u w:val="single"/>
        </w:rPr>
      </w:pPr>
      <w:r>
        <w:rPr>
          <w:rFonts w:hint="eastAsia"/>
          <w:highlight w:val="none"/>
          <w:u w:val="single"/>
        </w:rPr>
        <w:t>（</w:t>
      </w:r>
      <w:r>
        <w:rPr>
          <w:highlight w:val="none"/>
          <w:u w:val="single"/>
        </w:rPr>
        <w:t>2）被列入《重庆市工程建设领域招标投标信用管理暂行办法》规定的重点关注名单且记分达到12分且在记分有效期内；</w:t>
      </w:r>
    </w:p>
    <w:p w14:paraId="2A4829B9">
      <w:pPr>
        <w:pageBreakBefore w:val="0"/>
        <w:widowControl w:val="0"/>
        <w:kinsoku/>
        <w:wordWrap/>
        <w:overflowPunct/>
        <w:topLinePunct w:val="0"/>
        <w:bidi w:val="0"/>
        <w:spacing w:line="400" w:lineRule="exact"/>
        <w:ind w:firstLine="420" w:firstLineChars="200"/>
        <w:textAlignment w:val="auto"/>
        <w:rPr>
          <w:highlight w:val="none"/>
          <w:u w:val="single"/>
        </w:rPr>
      </w:pPr>
      <w:r>
        <w:rPr>
          <w:rFonts w:hint="eastAsia"/>
          <w:highlight w:val="none"/>
          <w:u w:val="single"/>
        </w:rPr>
        <w:t>（</w:t>
      </w:r>
      <w:r>
        <w:rPr>
          <w:highlight w:val="none"/>
          <w:u w:val="single"/>
        </w:rPr>
        <w:t>3）被列入《重庆市工程建设领域招标投标信用管理暂行办法》规定的重庆市工程建设领域招标投标失信惩戒对象名单（以下称黑名单）且在有效期内；</w:t>
      </w:r>
    </w:p>
    <w:p w14:paraId="095EA7CE">
      <w:pPr>
        <w:pageBreakBefore w:val="0"/>
        <w:widowControl w:val="0"/>
        <w:kinsoku/>
        <w:wordWrap/>
        <w:overflowPunct/>
        <w:topLinePunct w:val="0"/>
        <w:bidi w:val="0"/>
        <w:spacing w:line="400" w:lineRule="exact"/>
        <w:ind w:firstLine="420" w:firstLineChars="200"/>
        <w:textAlignment w:val="auto"/>
        <w:rPr>
          <w:highlight w:val="none"/>
          <w:u w:val="single"/>
        </w:rPr>
      </w:pPr>
      <w:r>
        <w:rPr>
          <w:rFonts w:hint="eastAsia"/>
          <w:highlight w:val="none"/>
          <w:u w:val="single"/>
        </w:rPr>
        <w:t>（</w:t>
      </w:r>
      <w:r>
        <w:rPr>
          <w:highlight w:val="none"/>
          <w:u w:val="single"/>
        </w:rPr>
        <w:t>4）被国家、重庆市（含市或任意区县）有关行政部门处以暂停投标资格行政处罚，且在处罚期限内；</w:t>
      </w:r>
    </w:p>
    <w:p w14:paraId="005C3F46">
      <w:pPr>
        <w:pageBreakBefore w:val="0"/>
        <w:widowControl w:val="0"/>
        <w:kinsoku/>
        <w:wordWrap/>
        <w:overflowPunct/>
        <w:topLinePunct w:val="0"/>
        <w:bidi w:val="0"/>
        <w:spacing w:line="400" w:lineRule="exact"/>
        <w:ind w:firstLine="420" w:firstLineChars="200"/>
        <w:textAlignment w:val="auto"/>
        <w:rPr>
          <w:highlight w:val="none"/>
          <w:u w:val="single"/>
        </w:rPr>
      </w:pPr>
      <w:r>
        <w:rPr>
          <w:rFonts w:hint="eastAsia"/>
          <w:highlight w:val="none"/>
          <w:u w:val="single"/>
        </w:rPr>
        <w:t>（</w:t>
      </w:r>
      <w:r>
        <w:rPr>
          <w:highlight w:val="none"/>
          <w:u w:val="single"/>
        </w:rPr>
        <w:t>5）被重庆市住房和城乡建设主管部门暂停在渝承揽新业务且在暂停期内。</w:t>
      </w:r>
    </w:p>
    <w:p w14:paraId="657C6610">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ascii="宋体" w:hAnsi="宋体"/>
          <w:snapToGrid w:val="0"/>
          <w:kern w:val="0"/>
          <w:szCs w:val="21"/>
          <w:highlight w:val="none"/>
          <w:lang w:val="zh-CN"/>
        </w:rPr>
      </w:pPr>
      <w:r>
        <w:rPr>
          <w:rFonts w:hint="eastAsia" w:ascii="宋体" w:hAnsi="宋体"/>
          <w:snapToGrid w:val="0"/>
          <w:kern w:val="0"/>
          <w:szCs w:val="21"/>
          <w:highlight w:val="none"/>
          <w:u w:val="single"/>
        </w:rPr>
        <w:t>（6）</w:t>
      </w:r>
      <w:r>
        <w:rPr>
          <w:rFonts w:hint="eastAsia" w:ascii="宋体" w:hAnsi="宋体"/>
          <w:snapToGrid w:val="0"/>
          <w:kern w:val="0"/>
          <w:szCs w:val="21"/>
          <w:highlight w:val="none"/>
          <w:u w:val="single"/>
          <w:lang w:val="zh-CN"/>
        </w:rPr>
        <w:t>具有良好的商业信誉和健全的财务会计制度；</w:t>
      </w:r>
    </w:p>
    <w:p w14:paraId="2C71D4E0">
      <w:pPr>
        <w:pStyle w:val="4"/>
        <w:pageBreakBefore w:val="0"/>
        <w:widowControl w:val="0"/>
        <w:kinsoku/>
        <w:wordWrap/>
        <w:overflowPunct/>
        <w:topLinePunct w:val="0"/>
        <w:bidi w:val="0"/>
        <w:spacing w:before="0" w:after="0" w:line="400" w:lineRule="exact"/>
        <w:textAlignment w:val="auto"/>
        <w:rPr>
          <w:rFonts w:ascii="宋体" w:hAnsi="宋体"/>
          <w:snapToGrid w:val="0"/>
          <w:sz w:val="28"/>
          <w:szCs w:val="28"/>
          <w:highlight w:val="none"/>
        </w:rPr>
      </w:pPr>
      <w:r>
        <w:rPr>
          <w:rFonts w:ascii="宋体" w:hAnsi="宋体"/>
          <w:snapToGrid w:val="0"/>
          <w:sz w:val="28"/>
          <w:szCs w:val="28"/>
          <w:highlight w:val="none"/>
        </w:rPr>
        <w:t>4.比选文件的获取</w:t>
      </w:r>
    </w:p>
    <w:p w14:paraId="085C0981">
      <w:pPr>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Times New Roman"/>
          <w:snapToGrid w:val="0"/>
          <w:kern w:val="0"/>
          <w:szCs w:val="21"/>
          <w:highlight w:val="none"/>
          <w:u w:val="single"/>
          <w:lang w:val="en-US" w:eastAsia="zh-CN"/>
        </w:rPr>
      </w:pPr>
      <w:r>
        <w:rPr>
          <w:rFonts w:hint="eastAsia" w:ascii="宋体" w:hAnsi="宋体" w:eastAsia="宋体" w:cs="Times New Roman"/>
          <w:snapToGrid w:val="0"/>
          <w:kern w:val="0"/>
          <w:szCs w:val="21"/>
          <w:highlight w:val="none"/>
          <w:u w:val="single"/>
          <w:lang w:val="en-US" w:eastAsia="zh-CN"/>
        </w:rPr>
        <w:t>凡确定参加比选的单位在2026年</w:t>
      </w:r>
      <w:r>
        <w:rPr>
          <w:rFonts w:hint="eastAsia" w:ascii="宋体" w:hAnsi="宋体" w:cs="Times New Roman"/>
          <w:snapToGrid w:val="0"/>
          <w:kern w:val="0"/>
          <w:szCs w:val="21"/>
          <w:highlight w:val="none"/>
          <w:u w:val="single"/>
          <w:lang w:val="en-US" w:eastAsia="zh-CN"/>
        </w:rPr>
        <w:t>6</w:t>
      </w:r>
      <w:r>
        <w:rPr>
          <w:rFonts w:hint="eastAsia" w:ascii="宋体" w:hAnsi="宋体" w:eastAsia="宋体" w:cs="Times New Roman"/>
          <w:snapToGrid w:val="0"/>
          <w:kern w:val="0"/>
          <w:szCs w:val="21"/>
          <w:highlight w:val="none"/>
          <w:u w:val="single"/>
          <w:lang w:val="en-US" w:eastAsia="zh-CN"/>
        </w:rPr>
        <w:t>月</w:t>
      </w:r>
      <w:r>
        <w:rPr>
          <w:rFonts w:hint="eastAsia" w:ascii="宋体" w:hAnsi="宋体" w:cs="Times New Roman"/>
          <w:snapToGrid w:val="0"/>
          <w:kern w:val="0"/>
          <w:szCs w:val="21"/>
          <w:highlight w:val="none"/>
          <w:u w:val="single"/>
          <w:lang w:val="en-US" w:eastAsia="zh-CN"/>
        </w:rPr>
        <w:t>22</w:t>
      </w:r>
      <w:r>
        <w:rPr>
          <w:rFonts w:hint="eastAsia" w:ascii="宋体" w:hAnsi="宋体" w:eastAsia="宋体" w:cs="Times New Roman"/>
          <w:snapToGrid w:val="0"/>
          <w:kern w:val="0"/>
          <w:szCs w:val="21"/>
          <w:highlight w:val="none"/>
          <w:u w:val="single"/>
          <w:lang w:val="en-US" w:eastAsia="zh-CN"/>
        </w:rPr>
        <w:t>日12：00时前（北京时间，下同）在阿依河景区官网（网址：http://www.ayhjq.com）上下载本项目比选文件及相关资料。</w:t>
      </w:r>
    </w:p>
    <w:p w14:paraId="7F7A45EC">
      <w:pPr>
        <w:pStyle w:val="24"/>
        <w:pageBreakBefore w:val="0"/>
        <w:widowControl w:val="0"/>
        <w:kinsoku/>
        <w:wordWrap/>
        <w:overflowPunct/>
        <w:topLinePunct w:val="0"/>
        <w:bidi w:val="0"/>
        <w:spacing w:line="400" w:lineRule="exact"/>
        <w:textAlignment w:val="auto"/>
        <w:outlineLvl w:val="1"/>
        <w:rPr>
          <w:rFonts w:hint="default" w:ascii="宋体" w:hAnsi="宋体" w:eastAsia="宋体" w:cs="宋体"/>
          <w:b/>
          <w:snapToGrid w:val="0"/>
          <w:sz w:val="28"/>
          <w:szCs w:val="28"/>
          <w:highlight w:val="none"/>
          <w:lang w:val="en-US" w:eastAsia="zh-CN"/>
        </w:rPr>
      </w:pPr>
      <w:r>
        <w:rPr>
          <w:rFonts w:hint="eastAsia" w:ascii="宋体" w:hAnsi="宋体" w:eastAsia="宋体" w:cs="宋体"/>
          <w:b/>
          <w:snapToGrid w:val="0"/>
          <w:sz w:val="28"/>
          <w:szCs w:val="28"/>
          <w:highlight w:val="none"/>
          <w:lang w:val="en-US" w:eastAsia="zh-CN"/>
        </w:rPr>
        <w:t>5</w:t>
      </w:r>
      <w:r>
        <w:rPr>
          <w:rFonts w:hint="eastAsia" w:ascii="宋体" w:hAnsi="宋体" w:eastAsia="宋体" w:cs="宋体"/>
          <w:b/>
          <w:snapToGrid w:val="0"/>
          <w:sz w:val="28"/>
          <w:szCs w:val="28"/>
          <w:highlight w:val="none"/>
        </w:rPr>
        <w:t>.参选文件递交</w:t>
      </w:r>
      <w:r>
        <w:rPr>
          <w:rFonts w:hint="eastAsia" w:ascii="宋体" w:hAnsi="宋体" w:eastAsia="宋体" w:cs="宋体"/>
          <w:b/>
          <w:snapToGrid w:val="0"/>
          <w:sz w:val="28"/>
          <w:szCs w:val="28"/>
          <w:highlight w:val="none"/>
          <w:lang w:val="en-US" w:eastAsia="zh-CN"/>
        </w:rPr>
        <w:t>及开标时间</w:t>
      </w:r>
    </w:p>
    <w:p w14:paraId="2072AFDD">
      <w:pPr>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Times New Roman"/>
          <w:snapToGrid w:val="0"/>
          <w:kern w:val="0"/>
          <w:szCs w:val="21"/>
          <w:highlight w:val="none"/>
        </w:rPr>
      </w:pPr>
      <w:r>
        <w:rPr>
          <w:rFonts w:ascii="宋体" w:hAnsi="宋体"/>
          <w:snapToGrid w:val="0"/>
          <w:kern w:val="0"/>
          <w:szCs w:val="21"/>
          <w:highlight w:val="none"/>
        </w:rPr>
        <w:t>5.1</w:t>
      </w:r>
      <w:r>
        <w:rPr>
          <w:rFonts w:hint="eastAsia" w:ascii="宋体" w:hAnsi="宋体"/>
          <w:snapToGrid w:val="0"/>
          <w:kern w:val="0"/>
          <w:szCs w:val="21"/>
          <w:highlight w:val="none"/>
        </w:rPr>
        <w:t xml:space="preserve"> 参选文件递交的截止时间（参选截止时间，下同）为</w:t>
      </w:r>
      <w:r>
        <w:rPr>
          <w:rFonts w:hint="eastAsia" w:ascii="宋体" w:hAnsi="宋体"/>
          <w:snapToGrid w:val="0"/>
          <w:kern w:val="0"/>
          <w:szCs w:val="21"/>
          <w:highlight w:val="none"/>
          <w:lang w:val="en-US" w:eastAsia="zh-CN"/>
        </w:rPr>
        <w:t xml:space="preserve">  </w:t>
      </w:r>
      <w:r>
        <w:rPr>
          <w:rFonts w:hint="default" w:ascii="宋体" w:hAnsi="宋体"/>
          <w:snapToGrid w:val="0"/>
          <w:kern w:val="0"/>
          <w:szCs w:val="21"/>
          <w:highlight w:val="none"/>
          <w:lang w:eastAsia="zh-CN"/>
        </w:rPr>
        <w:t>2026</w:t>
      </w:r>
      <w:r>
        <w:rPr>
          <w:rFonts w:hint="eastAsia" w:ascii="宋体" w:hAnsi="宋体"/>
          <w:snapToGrid w:val="0"/>
          <w:kern w:val="0"/>
          <w:szCs w:val="21"/>
          <w:highlight w:val="none"/>
        </w:rPr>
        <w:t>年</w:t>
      </w: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rPr>
        <w:t>月</w:t>
      </w:r>
      <w:r>
        <w:rPr>
          <w:rFonts w:hint="eastAsia" w:ascii="宋体" w:hAnsi="宋体"/>
          <w:snapToGrid w:val="0"/>
          <w:kern w:val="0"/>
          <w:szCs w:val="21"/>
          <w:highlight w:val="none"/>
          <w:lang w:val="en-US" w:eastAsia="zh-CN"/>
        </w:rPr>
        <w:t>22</w:t>
      </w:r>
      <w:r>
        <w:rPr>
          <w:rFonts w:hint="eastAsia" w:ascii="宋体" w:hAnsi="宋体"/>
          <w:snapToGrid w:val="0"/>
          <w:kern w:val="0"/>
          <w:szCs w:val="21"/>
          <w:highlight w:val="none"/>
        </w:rPr>
        <w:t>日</w:t>
      </w:r>
      <w:r>
        <w:rPr>
          <w:rFonts w:hint="default" w:ascii="宋体" w:hAnsi="宋体"/>
          <w:snapToGrid w:val="0"/>
          <w:kern w:val="0"/>
          <w:szCs w:val="21"/>
          <w:highlight w:val="none"/>
          <w:lang w:eastAsia="zh-CN"/>
        </w:rPr>
        <w:t>12</w:t>
      </w:r>
      <w:r>
        <w:rPr>
          <w:rFonts w:hint="eastAsia" w:ascii="宋体" w:hAnsi="宋体"/>
          <w:snapToGrid w:val="0"/>
          <w:kern w:val="0"/>
          <w:szCs w:val="21"/>
          <w:highlight w:val="none"/>
        </w:rPr>
        <w:t>时</w:t>
      </w:r>
      <w:r>
        <w:rPr>
          <w:rFonts w:hint="default" w:ascii="宋体" w:hAnsi="宋体"/>
          <w:snapToGrid w:val="0"/>
          <w:kern w:val="0"/>
          <w:szCs w:val="21"/>
          <w:highlight w:val="none"/>
          <w:lang w:eastAsia="zh-CN"/>
        </w:rPr>
        <w:t>0</w:t>
      </w:r>
      <w:r>
        <w:rPr>
          <w:rFonts w:hint="eastAsia" w:ascii="宋体" w:hAnsi="宋体"/>
          <w:snapToGrid w:val="0"/>
          <w:kern w:val="0"/>
          <w:szCs w:val="21"/>
          <w:highlight w:val="none"/>
        </w:rPr>
        <w:t>分，</w:t>
      </w:r>
      <w:r>
        <w:rPr>
          <w:rFonts w:ascii="宋体" w:hAnsi="宋体"/>
          <w:snapToGrid w:val="0"/>
          <w:kern w:val="0"/>
          <w:szCs w:val="21"/>
          <w:highlight w:val="none"/>
        </w:rPr>
        <w:t xml:space="preserve"> </w:t>
      </w:r>
      <w:r>
        <w:rPr>
          <w:rFonts w:hint="eastAsia" w:ascii="宋体" w:hAnsi="宋体"/>
          <w:snapToGrid w:val="0"/>
          <w:kern w:val="0"/>
          <w:szCs w:val="21"/>
          <w:highlight w:val="none"/>
        </w:rPr>
        <w:t>地点为</w:t>
      </w:r>
      <w:r>
        <w:rPr>
          <w:rFonts w:hint="eastAsia" w:ascii="宋体" w:hAnsi="宋体" w:eastAsia="宋体" w:cs="Times New Roman"/>
          <w:snapToGrid w:val="0"/>
          <w:kern w:val="0"/>
          <w:szCs w:val="21"/>
          <w:highlight w:val="none"/>
          <w:u w:val="single"/>
          <w:lang w:val="en-US" w:eastAsia="zh-CN"/>
        </w:rPr>
        <w:t>重庆市彭水县绍庆街道阿依河社区6组168号阿依河景区接待中心服务保障部</w:t>
      </w:r>
      <w:r>
        <w:rPr>
          <w:rFonts w:hint="eastAsia" w:ascii="宋体" w:hAnsi="宋体" w:eastAsia="宋体" w:cs="Times New Roman"/>
          <w:snapToGrid w:val="0"/>
          <w:kern w:val="0"/>
          <w:szCs w:val="21"/>
          <w:highlight w:val="none"/>
        </w:rPr>
        <w:t>。</w:t>
      </w:r>
    </w:p>
    <w:p w14:paraId="45C7F520">
      <w:pPr>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snapToGrid w:val="0"/>
          <w:kern w:val="0"/>
          <w:szCs w:val="21"/>
          <w:highlight w:val="none"/>
        </w:rPr>
      </w:pPr>
      <w:r>
        <w:rPr>
          <w:rFonts w:ascii="宋体" w:hAnsi="宋体"/>
          <w:snapToGrid w:val="0"/>
          <w:kern w:val="0"/>
          <w:szCs w:val="21"/>
          <w:highlight w:val="none"/>
        </w:rPr>
        <w:t xml:space="preserve">5.2 </w:t>
      </w:r>
      <w:r>
        <w:rPr>
          <w:rFonts w:hint="eastAsia" w:ascii="宋体" w:hAnsi="宋体"/>
          <w:snapToGrid w:val="0"/>
          <w:kern w:val="0"/>
          <w:szCs w:val="21"/>
          <w:highlight w:val="none"/>
        </w:rPr>
        <w:t>逾期送达的或者未送达指定地点的参选文件，</w:t>
      </w:r>
      <w:r>
        <w:rPr>
          <w:rFonts w:hint="eastAsia" w:ascii="宋体" w:hAnsi="宋体"/>
          <w:snapToGrid w:val="0"/>
          <w:kern w:val="0"/>
          <w:szCs w:val="21"/>
          <w:highlight w:val="none"/>
          <w:lang w:val="en-US" w:eastAsia="zh-CN"/>
        </w:rPr>
        <w:t>比选</w:t>
      </w:r>
      <w:r>
        <w:rPr>
          <w:rFonts w:hint="eastAsia" w:ascii="宋体" w:hAnsi="宋体"/>
          <w:snapToGrid w:val="0"/>
          <w:kern w:val="0"/>
          <w:szCs w:val="21"/>
          <w:highlight w:val="none"/>
        </w:rPr>
        <w:t>人不予受理。</w:t>
      </w:r>
    </w:p>
    <w:p w14:paraId="00595C9D">
      <w:pPr>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default" w:ascii="宋体" w:hAnsi="宋体"/>
          <w:snapToGrid w:val="0"/>
          <w:kern w:val="0"/>
          <w:szCs w:val="21"/>
          <w:highlight w:val="none"/>
          <w:lang w:val="en-US" w:eastAsia="zh-CN"/>
        </w:rPr>
      </w:pPr>
      <w:r>
        <w:rPr>
          <w:rFonts w:hint="eastAsia" w:ascii="宋体" w:hAnsi="宋体"/>
          <w:snapToGrid w:val="0"/>
          <w:kern w:val="0"/>
          <w:szCs w:val="21"/>
          <w:highlight w:val="none"/>
          <w:lang w:val="en-US" w:eastAsia="zh-CN"/>
        </w:rPr>
        <w:t xml:space="preserve">5.3开标时间： </w:t>
      </w:r>
      <w:r>
        <w:rPr>
          <w:rFonts w:hint="default" w:ascii="宋体" w:hAnsi="宋体"/>
          <w:snapToGrid w:val="0"/>
          <w:kern w:val="0"/>
          <w:szCs w:val="21"/>
          <w:highlight w:val="none"/>
          <w:lang w:eastAsia="zh-CN"/>
        </w:rPr>
        <w:t>2026</w:t>
      </w:r>
      <w:r>
        <w:rPr>
          <w:rFonts w:hint="eastAsia" w:ascii="宋体" w:hAnsi="宋体"/>
          <w:snapToGrid w:val="0"/>
          <w:kern w:val="0"/>
          <w:szCs w:val="21"/>
          <w:highlight w:val="none"/>
          <w:lang w:val="en-US" w:eastAsia="zh-CN"/>
        </w:rPr>
        <w:t>年6月22日</w:t>
      </w:r>
      <w:r>
        <w:rPr>
          <w:rFonts w:hint="default" w:ascii="宋体" w:hAnsi="宋体"/>
          <w:snapToGrid w:val="0"/>
          <w:kern w:val="0"/>
          <w:szCs w:val="21"/>
          <w:highlight w:val="none"/>
          <w:lang w:eastAsia="zh-CN"/>
        </w:rPr>
        <w:t>15</w:t>
      </w:r>
      <w:r>
        <w:rPr>
          <w:rFonts w:hint="eastAsia" w:ascii="宋体" w:hAnsi="宋体"/>
          <w:snapToGrid w:val="0"/>
          <w:kern w:val="0"/>
          <w:szCs w:val="21"/>
          <w:highlight w:val="none"/>
          <w:lang w:val="en-US" w:eastAsia="zh-CN"/>
        </w:rPr>
        <w:t>时</w:t>
      </w:r>
      <w:r>
        <w:rPr>
          <w:rFonts w:hint="default" w:ascii="宋体" w:hAnsi="宋体"/>
          <w:snapToGrid w:val="0"/>
          <w:kern w:val="0"/>
          <w:szCs w:val="21"/>
          <w:highlight w:val="none"/>
          <w:lang w:eastAsia="zh-CN"/>
        </w:rPr>
        <w:t>0</w:t>
      </w:r>
      <w:r>
        <w:rPr>
          <w:rFonts w:hint="eastAsia" w:ascii="宋体" w:hAnsi="宋体"/>
          <w:snapToGrid w:val="0"/>
          <w:kern w:val="0"/>
          <w:szCs w:val="21"/>
          <w:highlight w:val="none"/>
          <w:lang w:val="en-US" w:eastAsia="zh-CN"/>
        </w:rPr>
        <w:t>分，开标地点</w:t>
      </w:r>
      <w:r>
        <w:rPr>
          <w:rFonts w:hint="eastAsia" w:ascii="宋体" w:hAnsi="宋体" w:eastAsia="宋体" w:cs="Times New Roman"/>
          <w:snapToGrid w:val="0"/>
          <w:kern w:val="0"/>
          <w:szCs w:val="21"/>
          <w:highlight w:val="none"/>
          <w:lang w:val="en-US" w:eastAsia="zh-CN"/>
        </w:rPr>
        <w:t>：重庆市彭水县绍庆街道阿依河社区6组168号阿依河景区接待中心会议室，具</w:t>
      </w:r>
      <w:r>
        <w:rPr>
          <w:rFonts w:hint="eastAsia" w:ascii="宋体" w:hAnsi="宋体"/>
          <w:snapToGrid w:val="0"/>
          <w:kern w:val="0"/>
          <w:szCs w:val="21"/>
          <w:highlight w:val="none"/>
          <w:lang w:val="en-US" w:eastAsia="zh-CN"/>
        </w:rPr>
        <w:t>体以开标当天安排为准。</w:t>
      </w:r>
    </w:p>
    <w:p w14:paraId="0CE30351">
      <w:pPr>
        <w:pStyle w:val="4"/>
        <w:pageBreakBefore w:val="0"/>
        <w:widowControl w:val="0"/>
        <w:kinsoku/>
        <w:wordWrap/>
        <w:overflowPunct/>
        <w:topLinePunct w:val="0"/>
        <w:bidi w:val="0"/>
        <w:spacing w:before="0" w:after="0" w:line="400" w:lineRule="exact"/>
        <w:textAlignment w:val="auto"/>
        <w:rPr>
          <w:rFonts w:ascii="宋体" w:hAnsi="宋体"/>
          <w:snapToGrid w:val="0"/>
          <w:sz w:val="28"/>
          <w:szCs w:val="28"/>
          <w:highlight w:val="none"/>
        </w:rPr>
      </w:pPr>
      <w:r>
        <w:rPr>
          <w:rFonts w:hint="eastAsia" w:ascii="宋体" w:hAnsi="宋体"/>
          <w:snapToGrid w:val="0"/>
          <w:sz w:val="28"/>
          <w:szCs w:val="28"/>
          <w:highlight w:val="none"/>
          <w:lang w:val="en-US" w:eastAsia="zh-CN"/>
        </w:rPr>
        <w:t>6</w:t>
      </w:r>
      <w:r>
        <w:rPr>
          <w:rFonts w:hint="eastAsia" w:ascii="宋体" w:hAnsi="宋体"/>
          <w:snapToGrid w:val="0"/>
          <w:sz w:val="28"/>
          <w:szCs w:val="28"/>
          <w:highlight w:val="none"/>
        </w:rPr>
        <w:t>.拟中标结果的公示</w:t>
      </w:r>
    </w:p>
    <w:p w14:paraId="66D64366">
      <w:pPr>
        <w:pStyle w:val="4"/>
        <w:pageBreakBefore w:val="0"/>
        <w:widowControl w:val="0"/>
        <w:kinsoku/>
        <w:wordWrap/>
        <w:overflowPunct/>
        <w:topLinePunct w:val="0"/>
        <w:bidi w:val="0"/>
        <w:spacing w:before="0" w:after="0" w:line="400" w:lineRule="exact"/>
        <w:textAlignment w:val="auto"/>
        <w:rPr>
          <w:rFonts w:hint="eastAsia" w:ascii="方正仿宋_GBK" w:hAnsi="方正仿宋_GBK" w:eastAsia="方正仿宋_GBK" w:cs="方正仿宋_GBK"/>
          <w:color w:val="auto"/>
          <w:sz w:val="28"/>
          <w:szCs w:val="28"/>
          <w:highlight w:val="none"/>
          <w:lang w:val="en-US" w:eastAsia="zh-CN"/>
        </w:rPr>
      </w:pPr>
      <w:r>
        <w:rPr>
          <w:rFonts w:hint="eastAsia" w:ascii="宋体" w:hAnsi="宋体" w:eastAsia="宋体" w:cs="Times New Roman"/>
          <w:b w:val="0"/>
          <w:bCs w:val="0"/>
          <w:snapToGrid w:val="0"/>
          <w:kern w:val="0"/>
          <w:sz w:val="21"/>
          <w:szCs w:val="21"/>
          <w:highlight w:val="none"/>
          <w:lang w:val="en-US" w:eastAsia="zh-CN" w:bidi="ar-SA"/>
        </w:rPr>
        <w:t xml:space="preserve">    中选结果在阿依河景区官网（网址：http://www.ayhjq.com）上进行公示，公示期为</w:t>
      </w:r>
      <w:r>
        <w:rPr>
          <w:rFonts w:hint="eastAsia" w:ascii="宋体" w:hAnsi="宋体" w:cs="Times New Roman"/>
          <w:b w:val="0"/>
          <w:bCs w:val="0"/>
          <w:snapToGrid w:val="0"/>
          <w:kern w:val="0"/>
          <w:sz w:val="21"/>
          <w:szCs w:val="21"/>
          <w:highlight w:val="none"/>
          <w:lang w:val="en-US" w:eastAsia="zh-CN" w:bidi="ar-SA"/>
        </w:rPr>
        <w:t>3</w:t>
      </w:r>
      <w:r>
        <w:rPr>
          <w:rFonts w:hint="eastAsia" w:ascii="宋体" w:hAnsi="宋体" w:eastAsia="宋体" w:cs="Times New Roman"/>
          <w:b w:val="0"/>
          <w:bCs w:val="0"/>
          <w:snapToGrid w:val="0"/>
          <w:kern w:val="0"/>
          <w:sz w:val="21"/>
          <w:szCs w:val="21"/>
          <w:highlight w:val="none"/>
          <w:lang w:val="en-US" w:eastAsia="zh-CN" w:bidi="ar-SA"/>
        </w:rPr>
        <w:t>日历天。</w:t>
      </w:r>
    </w:p>
    <w:p w14:paraId="56EFF5B5">
      <w:pPr>
        <w:pStyle w:val="4"/>
        <w:pageBreakBefore w:val="0"/>
        <w:widowControl w:val="0"/>
        <w:kinsoku/>
        <w:wordWrap/>
        <w:overflowPunct/>
        <w:topLinePunct w:val="0"/>
        <w:bidi w:val="0"/>
        <w:spacing w:before="0" w:after="0" w:line="400" w:lineRule="exact"/>
        <w:textAlignment w:val="auto"/>
        <w:rPr>
          <w:rFonts w:ascii="宋体" w:hAnsi="宋体"/>
          <w:snapToGrid w:val="0"/>
          <w:sz w:val="28"/>
          <w:szCs w:val="28"/>
          <w:highlight w:val="none"/>
        </w:rPr>
      </w:pPr>
      <w:r>
        <w:rPr>
          <w:rFonts w:hint="eastAsia" w:ascii="宋体" w:hAnsi="宋体"/>
          <w:snapToGrid w:val="0"/>
          <w:sz w:val="28"/>
          <w:szCs w:val="28"/>
          <w:highlight w:val="none"/>
        </w:rPr>
        <w:t>7</w:t>
      </w:r>
      <w:r>
        <w:rPr>
          <w:rFonts w:ascii="宋体" w:hAnsi="宋体"/>
          <w:snapToGrid w:val="0"/>
          <w:sz w:val="28"/>
          <w:szCs w:val="28"/>
          <w:highlight w:val="none"/>
        </w:rPr>
        <w:t>.联系方式</w:t>
      </w:r>
    </w:p>
    <w:p w14:paraId="6C98E687">
      <w:pPr>
        <w:pageBreakBefore w:val="0"/>
        <w:widowControl w:val="0"/>
        <w:tabs>
          <w:tab w:val="left" w:pos="4395"/>
          <w:tab w:val="left" w:pos="4678"/>
          <w:tab w:val="left" w:pos="8420"/>
        </w:tabs>
        <w:kinsoku/>
        <w:wordWrap/>
        <w:overflowPunct/>
        <w:topLinePunct w:val="0"/>
        <w:autoSpaceDE w:val="0"/>
        <w:autoSpaceDN w:val="0"/>
        <w:bidi w:val="0"/>
        <w:adjustRightInd w:val="0"/>
        <w:snapToGrid w:val="0"/>
        <w:spacing w:line="400" w:lineRule="exact"/>
        <w:ind w:firstLine="420" w:firstLineChars="200"/>
        <w:jc w:val="left"/>
        <w:textAlignment w:val="auto"/>
        <w:rPr>
          <w:rFonts w:hint="default" w:ascii="宋体" w:hAnsi="宋体" w:eastAsia="宋体"/>
          <w:snapToGrid w:val="0"/>
          <w:kern w:val="0"/>
          <w:szCs w:val="21"/>
          <w:highlight w:val="none"/>
          <w:lang w:val="en-US" w:eastAsia="zh-CN"/>
        </w:rPr>
      </w:pPr>
      <w:r>
        <w:rPr>
          <w:rFonts w:hint="eastAsia" w:ascii="宋体" w:hAnsi="宋体"/>
          <w:snapToGrid w:val="0"/>
          <w:kern w:val="0"/>
          <w:szCs w:val="21"/>
          <w:highlight w:val="none"/>
        </w:rPr>
        <w:t>比选人：</w:t>
      </w:r>
      <w:r>
        <w:rPr>
          <w:rFonts w:hint="eastAsia" w:ascii="宋体" w:hAnsi="宋体"/>
          <w:snapToGrid w:val="0"/>
          <w:kern w:val="0"/>
          <w:szCs w:val="21"/>
          <w:highlight w:val="none"/>
          <w:u w:val="single"/>
          <w:lang w:val="en-US" w:eastAsia="zh-CN"/>
        </w:rPr>
        <w:t>重庆乌江画廊旅游开发有限公司阿依河分公司</w:t>
      </w:r>
    </w:p>
    <w:p w14:paraId="7E3CB6DA">
      <w:pPr>
        <w:pageBreakBefore w:val="0"/>
        <w:widowControl w:val="0"/>
        <w:tabs>
          <w:tab w:val="left" w:pos="4395"/>
          <w:tab w:val="left" w:pos="4678"/>
          <w:tab w:val="left" w:pos="8420"/>
        </w:tabs>
        <w:kinsoku/>
        <w:wordWrap/>
        <w:overflowPunct/>
        <w:topLinePunct w:val="0"/>
        <w:autoSpaceDE w:val="0"/>
        <w:autoSpaceDN w:val="0"/>
        <w:bidi w:val="0"/>
        <w:adjustRightInd w:val="0"/>
        <w:snapToGrid w:val="0"/>
        <w:spacing w:line="400" w:lineRule="exact"/>
        <w:ind w:firstLine="420" w:firstLineChars="200"/>
        <w:jc w:val="left"/>
        <w:textAlignment w:val="auto"/>
        <w:rPr>
          <w:rFonts w:hint="default" w:ascii="宋体" w:hAnsi="宋体" w:eastAsia="宋体"/>
          <w:snapToGrid w:val="0"/>
          <w:kern w:val="0"/>
          <w:szCs w:val="21"/>
          <w:highlight w:val="none"/>
          <w:lang w:val="en-US" w:eastAsia="zh-CN"/>
        </w:rPr>
      </w:pPr>
      <w:r>
        <w:rPr>
          <w:rFonts w:hint="eastAsia" w:ascii="宋体" w:hAnsi="宋体"/>
          <w:snapToGrid w:val="0"/>
          <w:kern w:val="0"/>
          <w:szCs w:val="21"/>
          <w:highlight w:val="none"/>
        </w:rPr>
        <w:t>地  址：</w:t>
      </w:r>
      <w:r>
        <w:rPr>
          <w:rFonts w:hint="eastAsia" w:ascii="宋体" w:hAnsi="宋体" w:eastAsia="宋体" w:cs="Times New Roman"/>
          <w:snapToGrid w:val="0"/>
          <w:kern w:val="0"/>
          <w:szCs w:val="21"/>
          <w:highlight w:val="none"/>
          <w:u w:val="single"/>
          <w:lang w:val="en-US" w:eastAsia="zh-CN"/>
        </w:rPr>
        <w:t>重庆市彭水县绍庆街道阿依河社区6组168号阿依河景区接待中心</w:t>
      </w:r>
    </w:p>
    <w:p w14:paraId="1849736F">
      <w:pPr>
        <w:pageBreakBefore w:val="0"/>
        <w:widowControl w:val="0"/>
        <w:tabs>
          <w:tab w:val="left" w:pos="4395"/>
          <w:tab w:val="left" w:pos="4678"/>
          <w:tab w:val="left" w:pos="8420"/>
        </w:tabs>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联系人：</w:t>
      </w:r>
      <w:r>
        <w:rPr>
          <w:rFonts w:hint="eastAsia" w:ascii="宋体" w:hAnsi="宋体"/>
          <w:snapToGrid w:val="0"/>
          <w:kern w:val="0"/>
          <w:szCs w:val="21"/>
          <w:highlight w:val="none"/>
          <w:u w:val="single"/>
          <w:lang w:val="en-US" w:eastAsia="zh-CN"/>
        </w:rPr>
        <w:t>刘</w:t>
      </w:r>
      <w:r>
        <w:rPr>
          <w:rFonts w:hint="eastAsia" w:ascii="宋体" w:hAnsi="宋体"/>
          <w:snapToGrid w:val="0"/>
          <w:kern w:val="0"/>
          <w:szCs w:val="21"/>
          <w:highlight w:val="none"/>
          <w:u w:val="single"/>
        </w:rPr>
        <w:t>老师</w:t>
      </w:r>
    </w:p>
    <w:p w14:paraId="33C66B10">
      <w:pPr>
        <w:tabs>
          <w:tab w:val="left" w:pos="4395"/>
          <w:tab w:val="left" w:pos="4678"/>
          <w:tab w:val="left" w:pos="8420"/>
        </w:tabs>
        <w:autoSpaceDE w:val="0"/>
        <w:autoSpaceDN w:val="0"/>
        <w:adjustRightInd w:val="0"/>
        <w:snapToGrid w:val="0"/>
        <w:spacing w:line="400" w:lineRule="exact"/>
        <w:ind w:firstLine="420" w:firstLineChars="200"/>
        <w:jc w:val="left"/>
        <w:rPr>
          <w:rFonts w:ascii="宋体" w:hAnsi="宋体"/>
          <w:snapToGrid w:val="0"/>
          <w:kern w:val="0"/>
          <w:highlight w:val="none"/>
        </w:rPr>
      </w:pPr>
      <w:r>
        <w:rPr>
          <w:rFonts w:hint="eastAsia" w:ascii="宋体" w:hAnsi="宋体"/>
          <w:snapToGrid w:val="0"/>
          <w:kern w:val="0"/>
          <w:szCs w:val="21"/>
          <w:highlight w:val="none"/>
        </w:rPr>
        <w:t>电</w:t>
      </w:r>
      <w:r>
        <w:rPr>
          <w:rFonts w:ascii="宋体" w:hAnsi="宋体"/>
          <w:snapToGrid w:val="0"/>
          <w:kern w:val="0"/>
          <w:szCs w:val="21"/>
          <w:highlight w:val="none"/>
        </w:rPr>
        <w:t xml:space="preserve">  </w:t>
      </w:r>
      <w:r>
        <w:rPr>
          <w:rFonts w:hint="eastAsia" w:ascii="宋体" w:hAnsi="宋体"/>
          <w:snapToGrid w:val="0"/>
          <w:kern w:val="0"/>
          <w:szCs w:val="21"/>
          <w:highlight w:val="none"/>
        </w:rPr>
        <w:t>话：</w:t>
      </w:r>
      <w:r>
        <w:rPr>
          <w:rFonts w:hint="eastAsia" w:ascii="宋体" w:hAnsi="宋体"/>
          <w:snapToGrid w:val="0"/>
          <w:kern w:val="0"/>
          <w:szCs w:val="21"/>
          <w:highlight w:val="none"/>
          <w:u w:val="single"/>
          <w:lang w:val="en-US" w:eastAsia="zh-CN"/>
        </w:rPr>
        <w:t xml:space="preserve">15025486525 </w:t>
      </w:r>
    </w:p>
    <w:p w14:paraId="1CEFFAA0">
      <w:pPr>
        <w:rPr>
          <w:rFonts w:ascii="宋体" w:hAnsi="宋体"/>
          <w:snapToGrid w:val="0"/>
          <w:kern w:val="0"/>
          <w:highlight w:val="none"/>
        </w:rPr>
      </w:pPr>
    </w:p>
    <w:p w14:paraId="1396A159">
      <w:pPr>
        <w:pStyle w:val="2"/>
        <w:rPr>
          <w:rFonts w:ascii="宋体" w:hAnsi="宋体"/>
          <w:snapToGrid w:val="0"/>
          <w:kern w:val="0"/>
          <w:highlight w:val="none"/>
        </w:rPr>
      </w:pPr>
    </w:p>
    <w:p w14:paraId="07AF0D6A">
      <w:pPr>
        <w:rPr>
          <w:rFonts w:ascii="宋体" w:hAnsi="宋体"/>
          <w:snapToGrid w:val="0"/>
          <w:kern w:val="0"/>
          <w:highlight w:val="none"/>
        </w:rPr>
      </w:pPr>
    </w:p>
    <w:p w14:paraId="7EB2CFF3">
      <w:pPr>
        <w:pStyle w:val="2"/>
        <w:rPr>
          <w:rFonts w:ascii="宋体" w:hAnsi="宋体"/>
          <w:snapToGrid w:val="0"/>
          <w:kern w:val="0"/>
          <w:highlight w:val="none"/>
        </w:rPr>
      </w:pPr>
    </w:p>
    <w:p w14:paraId="4EE386C4">
      <w:pPr>
        <w:rPr>
          <w:rFonts w:ascii="宋体" w:hAnsi="宋体"/>
          <w:snapToGrid w:val="0"/>
          <w:kern w:val="0"/>
          <w:highlight w:val="none"/>
        </w:rPr>
      </w:pPr>
    </w:p>
    <w:p w14:paraId="7C9C7199">
      <w:pPr>
        <w:pStyle w:val="2"/>
        <w:rPr>
          <w:rFonts w:ascii="宋体" w:hAnsi="宋体"/>
          <w:snapToGrid w:val="0"/>
          <w:kern w:val="0"/>
          <w:highlight w:val="none"/>
        </w:rPr>
      </w:pPr>
    </w:p>
    <w:p w14:paraId="08AC8395">
      <w:pPr>
        <w:rPr>
          <w:rFonts w:ascii="宋体" w:hAnsi="宋体"/>
          <w:snapToGrid w:val="0"/>
          <w:kern w:val="0"/>
          <w:highlight w:val="none"/>
        </w:rPr>
      </w:pPr>
    </w:p>
    <w:p w14:paraId="7419E91A">
      <w:pPr>
        <w:pStyle w:val="3"/>
        <w:pageBreakBefore w:val="0"/>
        <w:widowControl w:val="0"/>
        <w:kinsoku/>
        <w:wordWrap/>
        <w:overflowPunct/>
        <w:topLinePunct w:val="0"/>
        <w:autoSpaceDE/>
        <w:autoSpaceDN/>
        <w:bidi w:val="0"/>
        <w:adjustRightInd/>
        <w:snapToGrid/>
        <w:spacing w:before="0" w:after="0" w:line="600" w:lineRule="exact"/>
        <w:ind w:firstLine="2209" w:firstLineChars="500"/>
        <w:jc w:val="both"/>
        <w:textAlignment w:val="auto"/>
        <w:rPr>
          <w:rFonts w:ascii="宋体" w:hAnsi="宋体"/>
          <w:snapToGrid w:val="0"/>
          <w:kern w:val="0"/>
          <w:highlight w:val="none"/>
        </w:rPr>
      </w:pPr>
      <w:r>
        <w:rPr>
          <w:rFonts w:ascii="宋体" w:hAnsi="宋体"/>
          <w:snapToGrid w:val="0"/>
          <w:kern w:val="0"/>
          <w:highlight w:val="none"/>
        </w:rPr>
        <w:t>第</w:t>
      </w:r>
      <w:r>
        <w:rPr>
          <w:rFonts w:hint="eastAsia" w:ascii="宋体" w:hAnsi="宋体"/>
          <w:snapToGrid w:val="0"/>
          <w:kern w:val="0"/>
          <w:highlight w:val="none"/>
        </w:rPr>
        <w:t>二</w:t>
      </w:r>
      <w:r>
        <w:rPr>
          <w:rFonts w:ascii="宋体" w:hAnsi="宋体"/>
          <w:snapToGrid w:val="0"/>
          <w:kern w:val="0"/>
          <w:highlight w:val="none"/>
        </w:rPr>
        <w:t xml:space="preserve">章  </w:t>
      </w:r>
      <w:r>
        <w:rPr>
          <w:rFonts w:hint="eastAsia" w:ascii="宋体" w:hAnsi="宋体"/>
          <w:snapToGrid w:val="0"/>
          <w:kern w:val="0"/>
          <w:highlight w:val="none"/>
        </w:rPr>
        <w:t>参选人须知</w:t>
      </w:r>
    </w:p>
    <w:p w14:paraId="162858CF">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b/>
          <w:bCs/>
          <w:snapToGrid w:val="0"/>
          <w:sz w:val="28"/>
          <w:szCs w:val="28"/>
          <w:highlight w:val="none"/>
        </w:rPr>
      </w:pPr>
    </w:p>
    <w:p w14:paraId="1A9DA06D">
      <w:pPr>
        <w:pageBreakBefore w:val="0"/>
        <w:widowControl w:val="0"/>
        <w:kinsoku/>
        <w:wordWrap/>
        <w:overflowPunct/>
        <w:topLinePunct w:val="0"/>
        <w:autoSpaceDE/>
        <w:autoSpaceDN/>
        <w:bidi w:val="0"/>
        <w:adjustRightInd/>
        <w:snapToGrid/>
        <w:spacing w:line="600" w:lineRule="exact"/>
        <w:textAlignment w:val="auto"/>
        <w:outlineLvl w:val="1"/>
        <w:rPr>
          <w:rFonts w:hint="default" w:ascii="宋体" w:hAnsi="宋体" w:eastAsia="宋体"/>
          <w:b/>
          <w:bCs/>
          <w:snapToGrid w:val="0"/>
          <w:sz w:val="28"/>
          <w:szCs w:val="28"/>
          <w:highlight w:val="none"/>
          <w:lang w:val="en-US" w:eastAsia="zh-CN"/>
        </w:rPr>
      </w:pPr>
      <w:r>
        <w:rPr>
          <w:rFonts w:hint="eastAsia" w:ascii="宋体" w:hAnsi="宋体"/>
          <w:b/>
          <w:bCs/>
          <w:snapToGrid w:val="0"/>
          <w:sz w:val="28"/>
          <w:szCs w:val="28"/>
          <w:highlight w:val="none"/>
        </w:rPr>
        <w:t>1.</w:t>
      </w:r>
      <w:r>
        <w:rPr>
          <w:rFonts w:hint="eastAsia" w:ascii="宋体" w:hAnsi="宋体"/>
          <w:b/>
          <w:bCs/>
          <w:snapToGrid w:val="0"/>
          <w:sz w:val="28"/>
          <w:szCs w:val="28"/>
          <w:highlight w:val="none"/>
          <w:lang w:val="en-US" w:eastAsia="zh-CN"/>
        </w:rPr>
        <w:t>比选基本信息</w:t>
      </w:r>
    </w:p>
    <w:p w14:paraId="74C69593">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default" w:ascii="宋体" w:hAnsi="宋体"/>
          <w:color w:val="000000"/>
          <w:szCs w:val="21"/>
          <w:highlight w:val="none"/>
          <w:u w:val="single"/>
          <w:lang w:val="en-US" w:eastAsia="zh-CN"/>
        </w:rPr>
      </w:pPr>
      <w:r>
        <w:rPr>
          <w:rFonts w:hint="eastAsia" w:ascii="宋体" w:hAnsi="宋体"/>
          <w:color w:val="000000"/>
          <w:szCs w:val="21"/>
          <w:highlight w:val="none"/>
          <w:lang w:val="en-US" w:eastAsia="zh-CN"/>
        </w:rPr>
        <w:t>1.1.1比选人：</w:t>
      </w:r>
      <w:r>
        <w:rPr>
          <w:rFonts w:hint="eastAsia" w:ascii="宋体" w:hAnsi="宋体"/>
          <w:color w:val="000000"/>
          <w:szCs w:val="21"/>
          <w:highlight w:val="none"/>
          <w:u w:val="single"/>
          <w:lang w:val="en-US" w:eastAsia="zh-CN"/>
        </w:rPr>
        <w:t>重庆乌江画廊旅游开发有限公司阿依河分公司</w:t>
      </w:r>
    </w:p>
    <w:p w14:paraId="220DC153">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kern w:val="0"/>
          <w:szCs w:val="21"/>
          <w:highlight w:val="none"/>
          <w:u w:val="single"/>
          <w:lang w:val="en-US" w:eastAsia="zh-CN"/>
        </w:rPr>
      </w:pPr>
      <w:r>
        <w:rPr>
          <w:rFonts w:hint="eastAsia" w:ascii="宋体" w:hAnsi="宋体"/>
          <w:color w:val="000000"/>
          <w:szCs w:val="21"/>
          <w:highlight w:val="none"/>
          <w:lang w:val="en-US" w:eastAsia="zh-CN"/>
        </w:rPr>
        <w:t>1.1.2项目名称：</w:t>
      </w:r>
      <w:r>
        <w:rPr>
          <w:rFonts w:hint="eastAsia" w:ascii="宋体" w:hAnsi="宋体"/>
          <w:snapToGrid w:val="0"/>
          <w:kern w:val="0"/>
          <w:szCs w:val="21"/>
          <w:highlight w:val="none"/>
          <w:u w:val="single"/>
          <w:lang w:val="en-US" w:eastAsia="zh-CN"/>
        </w:rPr>
        <w:t>阿依河景区重要节点艺术装置及展陈提升EPC工程</w:t>
      </w:r>
    </w:p>
    <w:p w14:paraId="399F81D4">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none"/>
          <w:lang w:val="en-US" w:eastAsia="zh-CN"/>
        </w:rPr>
        <w:t>1.2.1资金来源：</w:t>
      </w:r>
      <w:r>
        <w:rPr>
          <w:rFonts w:hint="eastAsia" w:ascii="宋体" w:hAnsi="宋体"/>
          <w:snapToGrid w:val="0"/>
          <w:kern w:val="0"/>
          <w:szCs w:val="21"/>
          <w:highlight w:val="none"/>
          <w:u w:val="single"/>
          <w:lang w:val="en-US" w:eastAsia="zh-CN"/>
        </w:rPr>
        <w:t>自筹</w:t>
      </w:r>
    </w:p>
    <w:p w14:paraId="23F0C002">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none"/>
          <w:lang w:val="en-US" w:eastAsia="zh-CN"/>
        </w:rPr>
        <w:t>1.2.2出资比例：</w:t>
      </w:r>
      <w:r>
        <w:rPr>
          <w:rFonts w:hint="eastAsia" w:ascii="宋体" w:hAnsi="宋体"/>
          <w:snapToGrid w:val="0"/>
          <w:kern w:val="0"/>
          <w:szCs w:val="21"/>
          <w:highlight w:val="none"/>
          <w:u w:val="single"/>
          <w:lang w:val="en-US" w:eastAsia="zh-CN"/>
        </w:rPr>
        <w:t>100%</w:t>
      </w:r>
    </w:p>
    <w:p w14:paraId="33F2AA1F">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none"/>
          <w:lang w:val="en-US" w:eastAsia="zh-CN"/>
        </w:rPr>
        <w:t>1.3.1比选范围：</w:t>
      </w:r>
      <w:r>
        <w:rPr>
          <w:rFonts w:hint="eastAsia" w:ascii="宋体" w:hAnsi="宋体"/>
          <w:snapToGrid w:val="0"/>
          <w:kern w:val="0"/>
          <w:szCs w:val="21"/>
          <w:highlight w:val="none"/>
          <w:u w:val="single"/>
          <w:lang w:val="en-US" w:eastAsia="zh-CN"/>
        </w:rPr>
        <w:t>详见第一章比选公告第2条“项目概况与比选范围”</w:t>
      </w:r>
    </w:p>
    <w:p w14:paraId="3978D770">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default" w:ascii="宋体" w:hAnsi="宋体"/>
          <w:snapToGrid w:val="0"/>
          <w:kern w:val="0"/>
          <w:szCs w:val="21"/>
          <w:highlight w:val="none"/>
          <w:u w:val="single"/>
          <w:lang w:val="en-US" w:eastAsia="zh-CN"/>
        </w:rPr>
      </w:pPr>
      <w:r>
        <w:rPr>
          <w:rFonts w:hint="eastAsia" w:ascii="宋体" w:hAnsi="宋体"/>
          <w:snapToGrid w:val="0"/>
          <w:kern w:val="0"/>
          <w:szCs w:val="21"/>
          <w:highlight w:val="none"/>
          <w:u w:val="none"/>
          <w:lang w:val="en-US" w:eastAsia="zh-CN"/>
        </w:rPr>
        <w:t>1.3.2工期要求：</w:t>
      </w:r>
      <w:r>
        <w:rPr>
          <w:rFonts w:hint="eastAsia" w:ascii="宋体" w:hAnsi="宋体"/>
          <w:snapToGrid w:val="0"/>
          <w:kern w:val="0"/>
          <w:szCs w:val="21"/>
          <w:highlight w:val="none"/>
          <w:u w:val="single"/>
          <w:lang w:val="en-US" w:eastAsia="zh-CN"/>
        </w:rPr>
        <w:t>详见第一章比选公告第2条第2.4款“工期要求”</w:t>
      </w:r>
    </w:p>
    <w:p w14:paraId="3B8C4BC1">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none"/>
          <w:lang w:val="en-US" w:eastAsia="zh-CN"/>
        </w:rPr>
        <w:t>1.4.1参选人资格要求：</w:t>
      </w:r>
      <w:r>
        <w:rPr>
          <w:rFonts w:hint="eastAsia" w:ascii="宋体" w:hAnsi="宋体"/>
          <w:snapToGrid w:val="0"/>
          <w:kern w:val="0"/>
          <w:szCs w:val="21"/>
          <w:highlight w:val="none"/>
          <w:u w:val="single"/>
          <w:lang w:val="en-US" w:eastAsia="zh-CN"/>
        </w:rPr>
        <w:t>详见第一章比选公告第3条“参选人资格要求”</w:t>
      </w:r>
    </w:p>
    <w:p w14:paraId="34D91D5B">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default" w:ascii="宋体" w:hAnsi="宋体"/>
          <w:snapToGrid w:val="0"/>
          <w:kern w:val="0"/>
          <w:szCs w:val="21"/>
          <w:highlight w:val="none"/>
          <w:u w:val="single"/>
          <w:lang w:val="en-US" w:eastAsia="zh-CN"/>
        </w:rPr>
      </w:pPr>
      <w:r>
        <w:rPr>
          <w:rFonts w:hint="eastAsia" w:ascii="宋体" w:hAnsi="宋体"/>
          <w:snapToGrid w:val="0"/>
          <w:kern w:val="0"/>
          <w:szCs w:val="21"/>
          <w:highlight w:val="none"/>
          <w:u w:val="none"/>
          <w:lang w:val="en-US" w:eastAsia="zh-CN"/>
        </w:rPr>
        <w:t>1.4.2是否接受联合体参选：</w:t>
      </w:r>
      <w:r>
        <w:rPr>
          <w:rFonts w:hint="eastAsia" w:ascii="宋体" w:hAnsi="宋体"/>
          <w:snapToGrid w:val="0"/>
          <w:kern w:val="0"/>
          <w:szCs w:val="21"/>
          <w:highlight w:val="none"/>
          <w:u w:val="single"/>
          <w:lang w:val="en-US" w:eastAsia="zh-CN"/>
        </w:rPr>
        <w:t>详见第一章比选公告第3条第3.1款“资质条件”</w:t>
      </w:r>
    </w:p>
    <w:p w14:paraId="743BCECB">
      <w:pPr>
        <w:pageBreakBefore w:val="0"/>
        <w:kinsoku/>
        <w:wordWrap/>
        <w:overflowPunct/>
        <w:topLinePunct w:val="0"/>
        <w:autoSpaceDE/>
        <w:autoSpaceDN/>
        <w:bidi w:val="0"/>
        <w:adjustRightInd/>
        <w:snapToGrid/>
        <w:spacing w:line="400" w:lineRule="exact"/>
        <w:jc w:val="both"/>
        <w:textAlignment w:val="auto"/>
        <w:outlineLvl w:val="1"/>
        <w:rPr>
          <w:rFonts w:ascii="宋体" w:hAnsi="宋体"/>
          <w:b/>
          <w:bCs/>
          <w:snapToGrid w:val="0"/>
          <w:sz w:val="28"/>
          <w:szCs w:val="28"/>
          <w:highlight w:val="none"/>
        </w:rPr>
      </w:pPr>
      <w:r>
        <w:rPr>
          <w:rFonts w:hint="eastAsia" w:ascii="宋体" w:hAnsi="宋体"/>
          <w:b/>
          <w:bCs/>
          <w:snapToGrid w:val="0"/>
          <w:sz w:val="28"/>
          <w:szCs w:val="28"/>
          <w:highlight w:val="none"/>
        </w:rPr>
        <w:t>2.踏勘现场</w:t>
      </w:r>
    </w:p>
    <w:p w14:paraId="66A0149D">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ascii="宋体" w:hAnsi="宋体"/>
          <w:color w:val="000000"/>
          <w:szCs w:val="21"/>
          <w:highlight w:val="none"/>
        </w:rPr>
      </w:pPr>
      <w:r>
        <w:rPr>
          <w:rFonts w:hint="eastAsia" w:ascii="宋体" w:hAnsi="宋体"/>
          <w:color w:val="000000"/>
          <w:szCs w:val="21"/>
          <w:highlight w:val="none"/>
        </w:rPr>
        <w:t>比选人</w:t>
      </w:r>
      <w:r>
        <w:rPr>
          <w:rFonts w:ascii="宋体" w:hAnsi="宋体"/>
          <w:color w:val="000000"/>
          <w:szCs w:val="21"/>
          <w:highlight w:val="none"/>
        </w:rPr>
        <w:t>不组织，由各</w:t>
      </w:r>
      <w:r>
        <w:rPr>
          <w:rFonts w:hint="eastAsia" w:ascii="宋体" w:hAnsi="宋体"/>
          <w:color w:val="000000"/>
          <w:szCs w:val="21"/>
          <w:highlight w:val="none"/>
        </w:rPr>
        <w:t>参选人</w:t>
      </w:r>
      <w:r>
        <w:rPr>
          <w:rFonts w:ascii="宋体" w:hAnsi="宋体"/>
          <w:color w:val="000000"/>
          <w:szCs w:val="21"/>
          <w:highlight w:val="none"/>
        </w:rPr>
        <w:t>自行踏勘，</w:t>
      </w:r>
      <w:r>
        <w:rPr>
          <w:rFonts w:hint="eastAsia" w:ascii="宋体" w:hAnsi="宋体"/>
          <w:color w:val="000000"/>
          <w:szCs w:val="21"/>
          <w:highlight w:val="none"/>
        </w:rPr>
        <w:t>比选人</w:t>
      </w:r>
      <w:r>
        <w:rPr>
          <w:rFonts w:ascii="宋体" w:hAnsi="宋体"/>
          <w:color w:val="000000"/>
          <w:szCs w:val="21"/>
          <w:highlight w:val="none"/>
        </w:rPr>
        <w:t>予以配合。无论</w:t>
      </w:r>
      <w:r>
        <w:rPr>
          <w:rFonts w:hint="eastAsia" w:ascii="宋体" w:hAnsi="宋体"/>
          <w:color w:val="000000"/>
          <w:szCs w:val="21"/>
          <w:highlight w:val="none"/>
        </w:rPr>
        <w:t>参选人</w:t>
      </w:r>
      <w:r>
        <w:rPr>
          <w:rFonts w:ascii="宋体" w:hAnsi="宋体"/>
          <w:color w:val="000000"/>
          <w:szCs w:val="21"/>
          <w:highlight w:val="none"/>
        </w:rPr>
        <w:t>是否踏勘过现场，均被认为在递交</w:t>
      </w:r>
      <w:r>
        <w:rPr>
          <w:rFonts w:hint="eastAsia" w:ascii="宋体" w:hAnsi="宋体"/>
          <w:color w:val="000000"/>
          <w:szCs w:val="21"/>
          <w:highlight w:val="none"/>
        </w:rPr>
        <w:t>比选</w:t>
      </w:r>
      <w:r>
        <w:rPr>
          <w:rFonts w:ascii="宋体" w:hAnsi="宋体"/>
          <w:color w:val="000000"/>
          <w:szCs w:val="21"/>
          <w:highlight w:val="none"/>
        </w:rPr>
        <w:t>文件之前已经踏勘现场，对本项目的风险和义务已经十分了解，并在其文件中已充分考虑了现场和环境条件。踏勘现场所发生的费用由</w:t>
      </w:r>
      <w:r>
        <w:rPr>
          <w:rFonts w:hint="eastAsia" w:ascii="宋体" w:hAnsi="宋体"/>
          <w:color w:val="000000"/>
          <w:szCs w:val="21"/>
          <w:highlight w:val="none"/>
        </w:rPr>
        <w:t>参选人</w:t>
      </w:r>
      <w:r>
        <w:rPr>
          <w:rFonts w:ascii="宋体" w:hAnsi="宋体"/>
          <w:color w:val="000000"/>
          <w:szCs w:val="21"/>
          <w:highlight w:val="none"/>
        </w:rPr>
        <w:t>承担。</w:t>
      </w:r>
    </w:p>
    <w:p w14:paraId="41ECB5FC">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b/>
          <w:bCs/>
          <w:snapToGrid w:val="0"/>
          <w:sz w:val="28"/>
          <w:szCs w:val="28"/>
          <w:highlight w:val="none"/>
        </w:rPr>
      </w:pPr>
      <w:r>
        <w:rPr>
          <w:rFonts w:hint="eastAsia" w:ascii="宋体" w:hAnsi="宋体"/>
          <w:color w:val="000000"/>
          <w:szCs w:val="21"/>
          <w:highlight w:val="none"/>
        </w:rPr>
        <w:t>参选人</w:t>
      </w:r>
      <w:r>
        <w:rPr>
          <w:rFonts w:ascii="宋体" w:hAnsi="宋体"/>
          <w:color w:val="000000"/>
          <w:szCs w:val="21"/>
          <w:highlight w:val="none"/>
        </w:rPr>
        <w:t>及其人员应当做到安全文明踏勘现场，如果</w:t>
      </w:r>
      <w:r>
        <w:rPr>
          <w:rFonts w:hint="eastAsia" w:ascii="宋体" w:hAnsi="宋体"/>
          <w:color w:val="000000"/>
          <w:szCs w:val="21"/>
          <w:highlight w:val="none"/>
        </w:rPr>
        <w:t>参选人</w:t>
      </w:r>
      <w:r>
        <w:rPr>
          <w:rFonts w:ascii="宋体" w:hAnsi="宋体"/>
          <w:color w:val="000000"/>
          <w:szCs w:val="21"/>
          <w:highlight w:val="none"/>
        </w:rPr>
        <w:t>在踏勘现场过程中造成了人身损害或财产损害，</w:t>
      </w:r>
      <w:r>
        <w:rPr>
          <w:rFonts w:hint="eastAsia" w:ascii="宋体" w:hAnsi="宋体"/>
          <w:color w:val="000000"/>
          <w:szCs w:val="21"/>
          <w:highlight w:val="none"/>
        </w:rPr>
        <w:t>参选人</w:t>
      </w:r>
      <w:r>
        <w:rPr>
          <w:rFonts w:ascii="宋体" w:hAnsi="宋体"/>
          <w:color w:val="000000"/>
          <w:szCs w:val="21"/>
          <w:highlight w:val="none"/>
        </w:rPr>
        <w:t>应当承担一切法律责任和经济责任。</w:t>
      </w:r>
    </w:p>
    <w:p w14:paraId="60E79EFF">
      <w:pPr>
        <w:pageBreakBefore w:val="0"/>
        <w:kinsoku/>
        <w:wordWrap/>
        <w:overflowPunct/>
        <w:topLinePunct w:val="0"/>
        <w:autoSpaceDE/>
        <w:autoSpaceDN/>
        <w:bidi w:val="0"/>
        <w:adjustRightInd/>
        <w:snapToGrid/>
        <w:spacing w:line="400" w:lineRule="exact"/>
        <w:jc w:val="both"/>
        <w:textAlignment w:val="auto"/>
        <w:outlineLvl w:val="1"/>
        <w:rPr>
          <w:rFonts w:ascii="宋体" w:hAnsi="宋体"/>
          <w:b/>
          <w:bCs/>
          <w:snapToGrid w:val="0"/>
          <w:sz w:val="28"/>
          <w:szCs w:val="28"/>
          <w:highlight w:val="none"/>
        </w:rPr>
      </w:pPr>
      <w:r>
        <w:rPr>
          <w:rFonts w:hint="eastAsia" w:ascii="宋体" w:hAnsi="宋体"/>
          <w:b/>
          <w:bCs/>
          <w:snapToGrid w:val="0"/>
          <w:sz w:val="28"/>
          <w:szCs w:val="28"/>
          <w:highlight w:val="none"/>
        </w:rPr>
        <w:t>3.比选要求</w:t>
      </w:r>
    </w:p>
    <w:p w14:paraId="0D381AAB">
      <w:pPr>
        <w:pageBreakBefore w:val="0"/>
        <w:widowControl/>
        <w:kinsoku/>
        <w:wordWrap/>
        <w:overflowPunct/>
        <w:topLinePunct w:val="0"/>
        <w:autoSpaceDE/>
        <w:autoSpaceDN/>
        <w:bidi w:val="0"/>
        <w:adjustRightInd/>
        <w:snapToGrid/>
        <w:spacing w:line="400" w:lineRule="exact"/>
        <w:ind w:firstLine="420" w:firstLineChars="200"/>
        <w:jc w:val="both"/>
        <w:textAlignment w:val="auto"/>
        <w:rPr>
          <w:szCs w:val="21"/>
          <w:highlight w:val="none"/>
          <w:u w:val="single"/>
        </w:rPr>
      </w:pPr>
      <w:r>
        <w:rPr>
          <w:rFonts w:hint="eastAsia" w:ascii="宋体" w:hAnsi="宋体"/>
          <w:color w:val="000000"/>
          <w:szCs w:val="21"/>
          <w:highlight w:val="none"/>
        </w:rPr>
        <w:t>参选文件的组成：</w:t>
      </w:r>
      <w:r>
        <w:rPr>
          <w:rFonts w:hint="eastAsia" w:ascii="宋体" w:hAnsi="宋体"/>
          <w:color w:val="000000"/>
          <w:szCs w:val="21"/>
          <w:highlight w:val="none"/>
          <w:u w:val="single"/>
        </w:rPr>
        <w:t>报价文件、技术方案和资格审查三个部分组成。</w:t>
      </w:r>
    </w:p>
    <w:p w14:paraId="219C132A">
      <w:pPr>
        <w:pageBreakBefore w:val="0"/>
        <w:widowControl/>
        <w:kinsoku/>
        <w:wordWrap/>
        <w:overflowPunct/>
        <w:topLinePunct w:val="0"/>
        <w:autoSpaceDE/>
        <w:autoSpaceDN/>
        <w:bidi w:val="0"/>
        <w:adjustRightInd/>
        <w:snapToGrid/>
        <w:spacing w:line="400" w:lineRule="exact"/>
        <w:ind w:firstLine="422" w:firstLineChars="200"/>
        <w:jc w:val="both"/>
        <w:textAlignment w:val="auto"/>
        <w:outlineLvl w:val="2"/>
        <w:rPr>
          <w:rFonts w:ascii="宋体" w:hAnsi="宋体"/>
          <w:b/>
          <w:bCs/>
          <w:color w:val="000000"/>
          <w:szCs w:val="21"/>
          <w:highlight w:val="none"/>
        </w:rPr>
      </w:pPr>
      <w:r>
        <w:rPr>
          <w:rFonts w:hint="eastAsia" w:ascii="宋体" w:hAnsi="宋体"/>
          <w:b/>
          <w:bCs/>
          <w:color w:val="000000"/>
          <w:szCs w:val="21"/>
          <w:highlight w:val="none"/>
        </w:rPr>
        <w:t>3.1报价文件编制要求</w:t>
      </w:r>
    </w:p>
    <w:p w14:paraId="7078BA87">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3.1.1整体费用构成</w:t>
      </w:r>
    </w:p>
    <w:p w14:paraId="45EF3C98">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olor w:val="000000"/>
          <w:szCs w:val="21"/>
          <w:highlight w:val="none"/>
          <w:lang w:val="en-US" w:eastAsia="zh-CN"/>
        </w:rPr>
      </w:pPr>
      <w:r>
        <w:rPr>
          <w:rFonts w:hint="default" w:ascii="宋体" w:hAnsi="宋体" w:eastAsia="宋体"/>
          <w:color w:val="000000"/>
          <w:szCs w:val="21"/>
          <w:highlight w:val="none"/>
          <w:lang w:val="en-US" w:eastAsia="zh-CN"/>
        </w:rPr>
        <w:t>本项目的</w:t>
      </w:r>
      <w:r>
        <w:rPr>
          <w:rFonts w:hint="eastAsia" w:ascii="宋体" w:hAnsi="宋体"/>
          <w:color w:val="000000"/>
          <w:szCs w:val="21"/>
          <w:highlight w:val="none"/>
          <w:lang w:val="en-US" w:eastAsia="zh-CN"/>
        </w:rPr>
        <w:t>整体</w:t>
      </w:r>
      <w:r>
        <w:rPr>
          <w:rFonts w:hint="default" w:ascii="宋体" w:hAnsi="宋体" w:eastAsia="宋体"/>
          <w:color w:val="000000"/>
          <w:szCs w:val="21"/>
          <w:highlight w:val="none"/>
          <w:lang w:val="en-US" w:eastAsia="zh-CN"/>
        </w:rPr>
        <w:t>费用由</w:t>
      </w:r>
      <w:r>
        <w:rPr>
          <w:rFonts w:hint="default" w:ascii="宋体" w:hAnsi="宋体" w:eastAsia="宋体"/>
          <w:color w:val="000000"/>
          <w:szCs w:val="21"/>
          <w:highlight w:val="none"/>
          <w:u w:val="single"/>
          <w:lang w:val="en-US" w:eastAsia="zh-CN"/>
        </w:rPr>
        <w:t>设计费、工程费</w:t>
      </w:r>
      <w:r>
        <w:rPr>
          <w:rFonts w:hint="default" w:ascii="宋体" w:hAnsi="宋体" w:eastAsia="宋体"/>
          <w:color w:val="000000"/>
          <w:szCs w:val="21"/>
          <w:highlight w:val="none"/>
          <w:lang w:val="en-US" w:eastAsia="zh-CN"/>
        </w:rPr>
        <w:t>组成，</w:t>
      </w:r>
      <w:r>
        <w:rPr>
          <w:rFonts w:hint="eastAsia" w:ascii="宋体" w:hAnsi="宋体"/>
          <w:color w:val="000000"/>
          <w:szCs w:val="21"/>
          <w:highlight w:val="none"/>
          <w:lang w:val="en-US" w:eastAsia="zh-CN"/>
        </w:rPr>
        <w:t>比选</w:t>
      </w:r>
      <w:r>
        <w:rPr>
          <w:rFonts w:hint="default" w:ascii="宋体" w:hAnsi="宋体" w:eastAsia="宋体"/>
          <w:color w:val="000000"/>
          <w:szCs w:val="21"/>
          <w:highlight w:val="none"/>
          <w:lang w:val="en-US" w:eastAsia="zh-CN"/>
        </w:rPr>
        <w:t>报价应为完成</w:t>
      </w:r>
      <w:r>
        <w:rPr>
          <w:rFonts w:hint="eastAsia" w:ascii="宋体" w:hAnsi="宋体"/>
          <w:color w:val="000000"/>
          <w:szCs w:val="21"/>
          <w:highlight w:val="none"/>
          <w:lang w:val="en-US" w:eastAsia="zh-CN"/>
        </w:rPr>
        <w:t>比选文件第一章第2.3款</w:t>
      </w:r>
      <w:r>
        <w:rPr>
          <w:rFonts w:hint="default" w:ascii="宋体" w:hAnsi="宋体" w:eastAsia="宋体"/>
          <w:color w:val="000000"/>
          <w:szCs w:val="21"/>
          <w:highlight w:val="none"/>
          <w:lang w:val="en-US" w:eastAsia="zh-CN"/>
        </w:rPr>
        <w:t>规定的</w:t>
      </w:r>
      <w:r>
        <w:rPr>
          <w:rFonts w:hint="eastAsia" w:ascii="宋体" w:hAnsi="宋体"/>
          <w:color w:val="000000"/>
          <w:szCs w:val="21"/>
          <w:highlight w:val="none"/>
          <w:lang w:val="en-US" w:eastAsia="zh-CN"/>
        </w:rPr>
        <w:t>“比选范围及服务内容”</w:t>
      </w:r>
      <w:r>
        <w:rPr>
          <w:rFonts w:hint="default" w:ascii="宋体" w:hAnsi="宋体" w:eastAsia="宋体"/>
          <w:color w:val="000000"/>
          <w:szCs w:val="21"/>
          <w:highlight w:val="none"/>
          <w:lang w:val="en-US" w:eastAsia="zh-CN"/>
        </w:rPr>
        <w:t>范围内所有工作以及按合同约定交付</w:t>
      </w:r>
      <w:r>
        <w:rPr>
          <w:rFonts w:hint="eastAsia" w:ascii="宋体" w:hAnsi="宋体"/>
          <w:color w:val="000000"/>
          <w:szCs w:val="21"/>
          <w:highlight w:val="none"/>
          <w:lang w:val="en-US" w:eastAsia="zh-CN"/>
        </w:rPr>
        <w:t>比选</w:t>
      </w:r>
      <w:r>
        <w:rPr>
          <w:rFonts w:hint="default" w:ascii="宋体" w:hAnsi="宋体" w:eastAsia="宋体"/>
          <w:color w:val="000000"/>
          <w:szCs w:val="21"/>
          <w:highlight w:val="none"/>
          <w:lang w:val="en-US" w:eastAsia="zh-CN"/>
        </w:rPr>
        <w:t>人项目成果所需的全部费用（包括设计</w:t>
      </w:r>
      <w:r>
        <w:rPr>
          <w:rFonts w:hint="eastAsia" w:ascii="宋体" w:hAnsi="宋体"/>
          <w:color w:val="000000"/>
          <w:szCs w:val="21"/>
          <w:highlight w:val="none"/>
          <w:lang w:val="en-US" w:eastAsia="zh-CN"/>
        </w:rPr>
        <w:t>阶段</w:t>
      </w:r>
      <w:r>
        <w:rPr>
          <w:rFonts w:hint="default" w:ascii="宋体" w:hAnsi="宋体" w:eastAsia="宋体"/>
          <w:color w:val="000000"/>
          <w:szCs w:val="21"/>
          <w:highlight w:val="none"/>
          <w:lang w:val="en-US" w:eastAsia="zh-CN"/>
        </w:rPr>
        <w:t>、</w:t>
      </w:r>
      <w:r>
        <w:rPr>
          <w:rFonts w:hint="eastAsia" w:ascii="宋体" w:hAnsi="宋体"/>
          <w:color w:val="000000"/>
          <w:szCs w:val="21"/>
          <w:highlight w:val="none"/>
          <w:lang w:val="en-US" w:eastAsia="zh-CN"/>
        </w:rPr>
        <w:t>施工阶段</w:t>
      </w:r>
      <w:r>
        <w:rPr>
          <w:rFonts w:hint="default" w:ascii="宋体" w:hAnsi="宋体" w:eastAsia="宋体"/>
          <w:color w:val="000000"/>
          <w:szCs w:val="21"/>
          <w:highlight w:val="none"/>
          <w:lang w:val="en-US" w:eastAsia="zh-CN"/>
        </w:rPr>
        <w:t>、缺陷责任期全过程）。具体包括为实施和完成本项目</w:t>
      </w:r>
      <w:r>
        <w:rPr>
          <w:rFonts w:hint="eastAsia" w:ascii="宋体" w:hAnsi="宋体"/>
          <w:color w:val="000000"/>
          <w:szCs w:val="21"/>
          <w:highlight w:val="none"/>
          <w:lang w:val="en-US" w:eastAsia="zh-CN"/>
        </w:rPr>
        <w:t>比选</w:t>
      </w:r>
      <w:r>
        <w:rPr>
          <w:rFonts w:hint="default" w:ascii="宋体" w:hAnsi="宋体" w:eastAsia="宋体"/>
          <w:color w:val="000000"/>
          <w:szCs w:val="21"/>
          <w:highlight w:val="none"/>
          <w:lang w:val="en-US" w:eastAsia="zh-CN"/>
        </w:rPr>
        <w:t>范围（包括但不限于</w:t>
      </w:r>
      <w:r>
        <w:rPr>
          <w:rFonts w:hint="eastAsia" w:ascii="宋体" w:hAnsi="宋体"/>
          <w:color w:val="000000"/>
          <w:szCs w:val="21"/>
          <w:highlight w:val="none"/>
          <w:lang w:val="en-US" w:eastAsia="zh-CN"/>
        </w:rPr>
        <w:t>比选</w:t>
      </w:r>
      <w:r>
        <w:rPr>
          <w:rFonts w:hint="default" w:ascii="宋体" w:hAnsi="宋体" w:eastAsia="宋体"/>
          <w:color w:val="000000"/>
          <w:szCs w:val="21"/>
          <w:highlight w:val="none"/>
          <w:lang w:val="en-US" w:eastAsia="zh-CN"/>
        </w:rPr>
        <w:t>文件及</w:t>
      </w:r>
      <w:r>
        <w:rPr>
          <w:rFonts w:hint="eastAsia" w:ascii="宋体" w:hAnsi="宋体"/>
          <w:color w:val="000000"/>
          <w:szCs w:val="21"/>
          <w:highlight w:val="none"/>
          <w:lang w:val="en-US" w:eastAsia="zh-CN"/>
        </w:rPr>
        <w:t>比选</w:t>
      </w:r>
      <w:r>
        <w:rPr>
          <w:rFonts w:hint="default" w:ascii="宋体" w:hAnsi="宋体" w:eastAsia="宋体"/>
          <w:color w:val="000000"/>
          <w:szCs w:val="21"/>
          <w:highlight w:val="none"/>
          <w:lang w:val="en-US" w:eastAsia="zh-CN"/>
        </w:rPr>
        <w:t>人要求等）全部工作所需的前期准备工作、设计费（含资料费等）、管理费（含协调费等）、技术服务费、人工费、建筑设备材料费、施工机具使用费、企业管理费、利润、一般风险费、措施项目费（含临时设施费、检验检测费、系统集成费、安全文明施 工费）、其他项目费、规费、税金、</w:t>
      </w:r>
      <w:r>
        <w:rPr>
          <w:rFonts w:hint="eastAsia" w:ascii="宋体" w:hAnsi="宋体"/>
          <w:color w:val="000000"/>
          <w:szCs w:val="21"/>
          <w:highlight w:val="none"/>
          <w:lang w:val="en-US" w:eastAsia="zh-CN"/>
        </w:rPr>
        <w:t>比选</w:t>
      </w:r>
      <w:r>
        <w:rPr>
          <w:rFonts w:hint="default" w:ascii="宋体" w:hAnsi="宋体" w:eastAsia="宋体"/>
          <w:color w:val="000000"/>
          <w:szCs w:val="21"/>
          <w:highlight w:val="none"/>
          <w:lang w:val="en-US" w:eastAsia="zh-CN"/>
        </w:rPr>
        <w:t xml:space="preserve">文件及合同约定的相关费用、政策性文件规定的全部费用。 </w:t>
      </w:r>
    </w:p>
    <w:p w14:paraId="3BAC0FCD">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b w:val="0"/>
          <w:bCs w:val="0"/>
          <w:color w:val="000000"/>
          <w:szCs w:val="21"/>
          <w:highlight w:val="none"/>
          <w:lang w:val="en-US" w:eastAsia="zh-CN"/>
        </w:rPr>
      </w:pPr>
      <w:r>
        <w:rPr>
          <w:rFonts w:hint="eastAsia" w:ascii="宋体" w:hAnsi="宋体"/>
          <w:b w:val="0"/>
          <w:bCs w:val="0"/>
          <w:color w:val="000000"/>
          <w:szCs w:val="21"/>
          <w:highlight w:val="none"/>
          <w:lang w:val="en-US" w:eastAsia="zh-CN"/>
        </w:rPr>
        <w:t>3.1.2</w:t>
      </w:r>
      <w:r>
        <w:rPr>
          <w:rFonts w:hint="default" w:ascii="宋体" w:hAnsi="宋体" w:eastAsia="宋体"/>
          <w:b w:val="0"/>
          <w:bCs w:val="0"/>
          <w:color w:val="000000"/>
          <w:szCs w:val="21"/>
          <w:highlight w:val="none"/>
          <w:lang w:val="en-US" w:eastAsia="zh-CN"/>
        </w:rPr>
        <w:t xml:space="preserve">报价方式 </w:t>
      </w:r>
    </w:p>
    <w:p w14:paraId="5AB791B0">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olor w:val="000000"/>
          <w:szCs w:val="21"/>
          <w:highlight w:val="yellow"/>
          <w:lang w:val="en-US" w:eastAsia="zh-CN"/>
        </w:rPr>
      </w:pPr>
      <w:r>
        <w:rPr>
          <w:rFonts w:hint="default" w:ascii="宋体" w:hAnsi="宋体" w:eastAsia="宋体"/>
          <w:color w:val="000000"/>
          <w:szCs w:val="21"/>
          <w:highlight w:val="none"/>
          <w:lang w:val="en-US" w:eastAsia="zh-CN"/>
        </w:rPr>
        <w:t>本项目设计费用采用</w:t>
      </w:r>
      <w:r>
        <w:rPr>
          <w:rFonts w:hint="default" w:ascii="宋体" w:hAnsi="宋体" w:eastAsia="宋体"/>
          <w:color w:val="000000"/>
          <w:szCs w:val="21"/>
          <w:highlight w:val="none"/>
          <w:u w:val="single"/>
          <w:lang w:val="en-US" w:eastAsia="zh-CN"/>
        </w:rPr>
        <w:t>总价包干方式</w:t>
      </w:r>
      <w:r>
        <w:rPr>
          <w:rFonts w:hint="eastAsia" w:ascii="宋体" w:hAnsi="宋体"/>
          <w:color w:val="000000"/>
          <w:szCs w:val="21"/>
          <w:highlight w:val="none"/>
          <w:u w:val="single"/>
          <w:lang w:val="en-US" w:eastAsia="zh-CN"/>
        </w:rPr>
        <w:t>（设计费不允许报0或负数，否则作否决参选处理）</w:t>
      </w:r>
      <w:r>
        <w:rPr>
          <w:rFonts w:hint="eastAsia" w:ascii="宋体" w:hAnsi="宋体"/>
          <w:color w:val="000000"/>
          <w:szCs w:val="21"/>
          <w:highlight w:val="none"/>
          <w:lang w:val="en-US" w:eastAsia="zh-CN"/>
        </w:rPr>
        <w:t>；</w:t>
      </w:r>
      <w:r>
        <w:rPr>
          <w:rFonts w:hint="default" w:ascii="宋体" w:hAnsi="宋体" w:eastAsia="宋体"/>
          <w:color w:val="000000"/>
          <w:szCs w:val="21"/>
          <w:highlight w:val="none"/>
          <w:lang w:val="en-US" w:eastAsia="zh-CN"/>
        </w:rPr>
        <w:t>工程费采用</w:t>
      </w:r>
      <w:r>
        <w:rPr>
          <w:rFonts w:hint="default" w:ascii="宋体" w:hAnsi="宋体" w:eastAsia="宋体"/>
          <w:color w:val="000000"/>
          <w:szCs w:val="21"/>
          <w:highlight w:val="none"/>
          <w:u w:val="single"/>
          <w:lang w:val="en-US" w:eastAsia="zh-CN"/>
        </w:rPr>
        <w:t>固定费率包干的方式</w:t>
      </w:r>
      <w:r>
        <w:rPr>
          <w:rFonts w:hint="eastAsia" w:ascii="宋体" w:hAnsi="宋体"/>
          <w:color w:val="000000"/>
          <w:szCs w:val="21"/>
          <w:highlight w:val="none"/>
          <w:lang w:val="en-US" w:eastAsia="zh-CN"/>
        </w:rPr>
        <w:t>；参选</w:t>
      </w:r>
      <w:r>
        <w:rPr>
          <w:rFonts w:hint="default" w:ascii="宋体" w:hAnsi="宋体" w:eastAsia="宋体"/>
          <w:color w:val="000000"/>
          <w:szCs w:val="21"/>
          <w:highlight w:val="none"/>
          <w:lang w:val="en-US" w:eastAsia="zh-CN"/>
        </w:rPr>
        <w:t>人根据项目情况、自身实力、市场行情分别填报设计费</w:t>
      </w:r>
      <w:r>
        <w:rPr>
          <w:rFonts w:hint="eastAsia" w:ascii="宋体" w:hAnsi="宋体"/>
          <w:color w:val="000000"/>
          <w:szCs w:val="21"/>
          <w:highlight w:val="none"/>
          <w:lang w:val="en-US" w:eastAsia="zh-CN"/>
        </w:rPr>
        <w:t>参选</w:t>
      </w:r>
      <w:r>
        <w:rPr>
          <w:rFonts w:hint="default" w:ascii="宋体" w:hAnsi="宋体" w:eastAsia="宋体"/>
          <w:color w:val="000000"/>
          <w:szCs w:val="21"/>
          <w:highlight w:val="none"/>
          <w:lang w:val="en-US" w:eastAsia="zh-CN"/>
        </w:rPr>
        <w:t>报价、工程费</w:t>
      </w:r>
      <w:r>
        <w:rPr>
          <w:rFonts w:hint="eastAsia" w:ascii="宋体" w:hAnsi="宋体"/>
          <w:color w:val="000000"/>
          <w:szCs w:val="21"/>
          <w:highlight w:val="none"/>
          <w:lang w:val="en-US" w:eastAsia="zh-CN"/>
        </w:rPr>
        <w:t>参选</w:t>
      </w:r>
      <w:r>
        <w:rPr>
          <w:rFonts w:hint="default" w:ascii="宋体" w:hAnsi="宋体" w:eastAsia="宋体"/>
          <w:color w:val="000000"/>
          <w:szCs w:val="21"/>
          <w:highlight w:val="none"/>
          <w:lang w:val="en-US" w:eastAsia="zh-CN"/>
        </w:rPr>
        <w:t>报价。</w:t>
      </w:r>
    </w:p>
    <w:p w14:paraId="089E0326">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b w:val="0"/>
          <w:bCs w:val="0"/>
          <w:color w:val="000000"/>
          <w:szCs w:val="21"/>
          <w:highlight w:val="none"/>
          <w:lang w:val="en-US" w:eastAsia="zh-CN"/>
        </w:rPr>
      </w:pPr>
      <w:r>
        <w:rPr>
          <w:rFonts w:hint="eastAsia" w:ascii="宋体" w:hAnsi="宋体"/>
          <w:b w:val="0"/>
          <w:bCs w:val="0"/>
          <w:color w:val="000000"/>
          <w:szCs w:val="21"/>
          <w:highlight w:val="none"/>
          <w:lang w:val="en-US" w:eastAsia="zh-CN"/>
        </w:rPr>
        <w:t>3.1.3设计费最高限价</w:t>
      </w:r>
    </w:p>
    <w:p w14:paraId="1374A609">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本项目设计费限价为30568.5元，设计费采用全费用综合包干报价，设计费报价以元为单位，保留小数点后两位，第三位四舍五入，不足两位的按实际位数保留。参选人</w:t>
      </w:r>
      <w:r>
        <w:rPr>
          <w:rFonts w:ascii="宋体" w:hAnsi="宋体" w:cs="Times New Roman"/>
          <w:color w:val="000000"/>
          <w:szCs w:val="21"/>
          <w:highlight w:val="none"/>
          <w:lang w:val="en-US" w:eastAsia="zh-CN"/>
        </w:rPr>
        <w:t>所报</w:t>
      </w:r>
      <w:r>
        <w:rPr>
          <w:rFonts w:hint="default" w:ascii="宋体" w:hAnsi="宋体" w:cs="Times New Roman"/>
          <w:color w:val="000000"/>
          <w:szCs w:val="21"/>
          <w:highlight w:val="none"/>
          <w:lang w:val="en-US" w:eastAsia="zh-CN"/>
        </w:rPr>
        <w:t>设计费综合包干价均不得高于</w:t>
      </w:r>
      <w:r>
        <w:rPr>
          <w:rFonts w:hint="eastAsia" w:ascii="宋体" w:hAnsi="宋体" w:cs="Times New Roman"/>
          <w:color w:val="000000"/>
          <w:szCs w:val="21"/>
          <w:highlight w:val="none"/>
          <w:lang w:val="en-US" w:eastAsia="zh-CN"/>
        </w:rPr>
        <w:t>比选</w:t>
      </w:r>
      <w:r>
        <w:rPr>
          <w:rFonts w:hint="default" w:ascii="宋体" w:hAnsi="宋体" w:cs="Times New Roman"/>
          <w:color w:val="000000"/>
          <w:szCs w:val="21"/>
          <w:highlight w:val="none"/>
          <w:lang w:val="en-US" w:eastAsia="zh-CN"/>
        </w:rPr>
        <w:t>人设置的最高限价，否则作否决</w:t>
      </w:r>
      <w:r>
        <w:rPr>
          <w:rFonts w:hint="eastAsia" w:ascii="宋体" w:hAnsi="宋体" w:cs="Times New Roman"/>
          <w:color w:val="000000"/>
          <w:szCs w:val="21"/>
          <w:highlight w:val="none"/>
          <w:lang w:val="en-US" w:eastAsia="zh-CN"/>
        </w:rPr>
        <w:t>参选</w:t>
      </w:r>
      <w:r>
        <w:rPr>
          <w:rFonts w:hint="default" w:ascii="宋体" w:hAnsi="宋体" w:cs="Times New Roman"/>
          <w:color w:val="000000"/>
          <w:szCs w:val="21"/>
          <w:highlight w:val="none"/>
          <w:lang w:val="en-US" w:eastAsia="zh-CN"/>
        </w:rPr>
        <w:t>处理。</w:t>
      </w:r>
    </w:p>
    <w:p w14:paraId="047B8FCC">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3.1.4工程费最高限价</w:t>
      </w:r>
    </w:p>
    <w:p w14:paraId="5572C902">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Times New Roman"/>
          <w:color w:val="000000"/>
          <w:szCs w:val="21"/>
          <w:highlight w:val="none"/>
          <w:lang w:val="en-US" w:eastAsia="zh-CN"/>
        </w:rPr>
      </w:pPr>
      <w:r>
        <w:rPr>
          <w:rFonts w:ascii="宋体" w:hAnsi="宋体" w:cs="Times New Roman"/>
          <w:color w:val="000000"/>
          <w:szCs w:val="21"/>
          <w:highlight w:val="none"/>
          <w:lang w:val="en-US" w:eastAsia="zh-CN"/>
        </w:rPr>
        <w:t>工程费</w:t>
      </w:r>
      <w:r>
        <w:rPr>
          <w:rFonts w:hint="eastAsia" w:ascii="宋体" w:hAnsi="宋体" w:cs="Times New Roman"/>
          <w:color w:val="000000"/>
          <w:szCs w:val="21"/>
          <w:highlight w:val="none"/>
          <w:lang w:val="en-US" w:eastAsia="zh-CN"/>
        </w:rPr>
        <w:t>参选</w:t>
      </w:r>
      <w:r>
        <w:rPr>
          <w:rFonts w:ascii="宋体" w:hAnsi="宋体" w:cs="Times New Roman"/>
          <w:color w:val="000000"/>
          <w:szCs w:val="21"/>
          <w:highlight w:val="none"/>
          <w:lang w:val="en-US" w:eastAsia="zh-CN"/>
        </w:rPr>
        <w:t>报价包括完成</w:t>
      </w:r>
      <w:r>
        <w:rPr>
          <w:rFonts w:hint="eastAsia" w:ascii="宋体" w:hAnsi="宋体" w:cs="Times New Roman"/>
          <w:color w:val="000000"/>
          <w:szCs w:val="21"/>
          <w:highlight w:val="none"/>
          <w:lang w:val="en-US" w:eastAsia="zh-CN"/>
        </w:rPr>
        <w:t>比选</w:t>
      </w:r>
      <w:r>
        <w:rPr>
          <w:rFonts w:ascii="宋体" w:hAnsi="宋体" w:cs="Times New Roman"/>
          <w:color w:val="000000"/>
          <w:szCs w:val="21"/>
          <w:highlight w:val="none"/>
          <w:lang w:val="en-US" w:eastAsia="zh-CN"/>
        </w:rPr>
        <w:t>范围内工程项目的</w:t>
      </w:r>
      <w:r>
        <w:rPr>
          <w:rFonts w:hint="default" w:ascii="宋体" w:hAnsi="宋体" w:cs="Times New Roman"/>
          <w:color w:val="000000"/>
          <w:szCs w:val="21"/>
          <w:highlight w:val="none"/>
          <w:lang w:val="en-US" w:eastAsia="zh-CN"/>
        </w:rPr>
        <w:t>人工费、建筑设备材料费、施工机具使用费、企业管理费、利润、一般风险费、措施项目费（含临时设施费、系统集成费、安全文明施工费）、其他项目费、规费、税金、二次及多次转运费、风险费、缺陷修复费、配合费及其他施工保险费、软件开发（或购买）费及升级费用、调试费、</w:t>
      </w:r>
      <w:r>
        <w:rPr>
          <w:rFonts w:hint="eastAsia" w:ascii="宋体" w:hAnsi="宋体" w:cs="Times New Roman"/>
          <w:color w:val="000000"/>
          <w:szCs w:val="21"/>
          <w:highlight w:val="none"/>
          <w:lang w:val="en-US" w:eastAsia="zh-CN"/>
        </w:rPr>
        <w:t>比选</w:t>
      </w:r>
      <w:r>
        <w:rPr>
          <w:rFonts w:hint="default" w:ascii="宋体" w:hAnsi="宋体" w:cs="Times New Roman"/>
          <w:color w:val="000000"/>
          <w:szCs w:val="21"/>
          <w:highlight w:val="none"/>
          <w:lang w:val="en-US" w:eastAsia="zh-CN"/>
        </w:rPr>
        <w:t>文件及合同约定的相关费用、政策性文件规定费用、承包合同中约定的各项手续费、临时用地费及其它费用等所有费用，以及承包合同明示或暗示的所有责任、义务和风险等所有费用。</w:t>
      </w:r>
    </w:p>
    <w:p w14:paraId="68887827">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参选人应根据计价原则，结合项目情况、自身实力、市场行情自行填报工程固定费率，本项目造价税前总造价下浮（下浮率=1-工程固定费率，其中认质核价部分、安全文明施工费、规费、单独另有约定的项目不下浮），建筑安装工程固定费率中选后不再调整。</w:t>
      </w:r>
    </w:p>
    <w:p w14:paraId="696758E5">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cs="Times New Roman"/>
          <w:color w:val="000000"/>
          <w:szCs w:val="21"/>
          <w:highlight w:val="none"/>
          <w:lang w:val="en-US" w:eastAsia="zh-CN"/>
        </w:rPr>
        <w:t>比选</w:t>
      </w:r>
      <w:r>
        <w:rPr>
          <w:rFonts w:hint="default" w:ascii="宋体" w:hAnsi="宋体" w:cs="Times New Roman"/>
          <w:color w:val="000000"/>
          <w:szCs w:val="21"/>
          <w:highlight w:val="none"/>
          <w:lang w:val="en-US" w:eastAsia="zh-CN"/>
        </w:rPr>
        <w:t>人对工程费报价设置</w:t>
      </w:r>
      <w:r>
        <w:rPr>
          <w:rFonts w:hint="eastAsia" w:ascii="宋体" w:hAnsi="宋体" w:cs="Times New Roman"/>
          <w:color w:val="000000"/>
          <w:szCs w:val="21"/>
          <w:highlight w:val="none"/>
          <w:lang w:val="en-US" w:eastAsia="zh-CN"/>
        </w:rPr>
        <w:t>比选</w:t>
      </w:r>
      <w:r>
        <w:rPr>
          <w:rFonts w:hint="default" w:ascii="宋体" w:hAnsi="宋体" w:cs="Times New Roman"/>
          <w:color w:val="000000"/>
          <w:szCs w:val="21"/>
          <w:highlight w:val="none"/>
          <w:lang w:val="en-US" w:eastAsia="zh-CN"/>
        </w:rPr>
        <w:t>控制价，即设置最高工程费固定费率，</w:t>
      </w:r>
      <w:r>
        <w:rPr>
          <w:rFonts w:hint="eastAsia" w:ascii="宋体" w:hAnsi="宋体" w:cs="Times New Roman"/>
          <w:color w:val="000000"/>
          <w:szCs w:val="21"/>
          <w:highlight w:val="none"/>
          <w:lang w:val="en-US" w:eastAsia="zh-CN"/>
        </w:rPr>
        <w:t>比选</w:t>
      </w:r>
      <w:r>
        <w:rPr>
          <w:rFonts w:hint="default" w:ascii="宋体" w:hAnsi="宋体" w:cs="Times New Roman"/>
          <w:color w:val="000000"/>
          <w:szCs w:val="21"/>
          <w:highlight w:val="none"/>
          <w:lang w:val="en-US" w:eastAsia="zh-CN"/>
        </w:rPr>
        <w:t>人工程费固定费率（工程费固定费率报价以百分号为单位，百分号前保留两位小数，第三位四舍五入，不足两位的按实</w:t>
      </w:r>
      <w:r>
        <w:rPr>
          <w:rFonts w:hint="eastAsia" w:ascii="宋体" w:hAnsi="宋体" w:cs="Times New Roman"/>
          <w:color w:val="000000"/>
          <w:szCs w:val="21"/>
          <w:highlight w:val="none"/>
          <w:lang w:val="en-US" w:eastAsia="zh-CN"/>
        </w:rPr>
        <w:t>际位数保留）</w:t>
      </w:r>
      <w:r>
        <w:rPr>
          <w:rFonts w:hint="eastAsia" w:ascii="宋体" w:hAnsi="宋体" w:eastAsia="宋体" w:cs="宋体"/>
          <w:color w:val="000000"/>
          <w:kern w:val="0"/>
          <w:sz w:val="21"/>
          <w:szCs w:val="21"/>
          <w:highlight w:val="none"/>
          <w:lang w:val="en-US" w:eastAsia="zh-CN" w:bidi="ar"/>
        </w:rPr>
        <w:t>不得高于</w:t>
      </w:r>
      <w:r>
        <w:rPr>
          <w:rFonts w:hint="eastAsia" w:ascii="宋体" w:hAnsi="宋体" w:cs="宋体"/>
          <w:color w:val="000000"/>
          <w:kern w:val="0"/>
          <w:sz w:val="21"/>
          <w:szCs w:val="21"/>
          <w:highlight w:val="none"/>
          <w:u w:val="single"/>
          <w:lang w:val="en-US" w:eastAsia="zh-CN" w:bidi="ar"/>
        </w:rPr>
        <w:t>92</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color w:val="000000"/>
          <w:kern w:val="0"/>
          <w:sz w:val="21"/>
          <w:szCs w:val="21"/>
          <w:highlight w:val="none"/>
          <w:lang w:val="en-US" w:eastAsia="zh-CN" w:bidi="ar"/>
        </w:rPr>
        <w:t>，否则参选文件将被否决。</w:t>
      </w:r>
    </w:p>
    <w:p w14:paraId="74010AB2">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3.1.5工程费计价原则</w:t>
      </w:r>
    </w:p>
    <w:p w14:paraId="22F7E3C7">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（1）使用国有资金投资的建设工程发承包，必须采用工程量清</w:t>
      </w:r>
      <w:r>
        <w:rPr>
          <w:rFonts w:hint="default" w:ascii="宋体" w:hAnsi="宋体" w:cs="Times New Roman"/>
          <w:color w:val="000000"/>
          <w:szCs w:val="21"/>
          <w:highlight w:val="none"/>
          <w:lang w:val="en-US" w:eastAsia="zh-CN"/>
        </w:rPr>
        <w:t xml:space="preserve">单计价。工程量清单应采用综合单价计价。 </w:t>
      </w:r>
    </w:p>
    <w:p w14:paraId="4570402F">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cs="Times New Roman"/>
          <w:color w:val="000000"/>
          <w:szCs w:val="21"/>
          <w:highlight w:val="none"/>
          <w:lang w:val="en-US" w:eastAsia="zh-CN"/>
        </w:rPr>
        <w:t>（2）以《重庆市城</w:t>
      </w:r>
      <w:r>
        <w:rPr>
          <w:rFonts w:hint="eastAsia" w:ascii="宋体" w:hAnsi="宋体" w:eastAsia="宋体" w:cs="宋体"/>
          <w:color w:val="000000"/>
          <w:kern w:val="0"/>
          <w:sz w:val="21"/>
          <w:szCs w:val="21"/>
          <w:highlight w:val="none"/>
          <w:lang w:val="en-US" w:eastAsia="zh-CN" w:bidi="ar"/>
        </w:rPr>
        <w:t xml:space="preserve">乡建设委员会关于建筑业营业税改征增值税调整建设工程计价依据的通知》（渝建（2016）35 号）、《重庆市住房和城乡建设委员会关于适用增值税新税率调整建设工程计价依据的通知》渝建（2019）143 号）、《重庆市建设工程工程量计算规则》 </w:t>
      </w:r>
    </w:p>
    <w:p w14:paraId="09A990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（CQJLG-2013）、《建设工程工程量清单计价规范》（GB50500-2013）、《重庆市建设工程工程量清单计价规则》（CQQDGZ-2013）、《重庆市建设工程工程量清单计价编制指南》（2013）、《重庆市建设工程费用定额》 CQFYDE-2018 ）、《重庆市建筑工程计价定额》 （CQJZDE-2018）、《重庆市安装工程计价定额》（CQAZDE-2018）、 《重庆市装饰工程计价定额》（CQZSDE-2018）、《重庆市市政工程计价定额》（CQSZDE-2018）、《混凝土及砂浆配合比表、施工机械台班定额》（CQPSDE-2018）、《重庆建筑工程施工仪器仪表台班定额》（CQYQYBDE-2018）《重庆市建设工程造价管理总站关于颁发2018年重庆市建设工程计价定额综合解释的通知》（渝建价发〔2019〕16号）等及相关配套文件为依据，自行编制预算、工程量清单及清单组价并报比选人审核。完工验收前因调试、试运行等产生的电费由参选人自理。</w:t>
      </w:r>
    </w:p>
    <w:p w14:paraId="2E24DA7E">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（3）人工单价的确定原则 </w:t>
      </w:r>
    </w:p>
    <w:p w14:paraId="2129F48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按重庆市建设工程造价总站主办且配套2018定额使用的2026年第一季《重庆工程造价</w:t>
      </w:r>
      <w:r>
        <w:rPr>
          <w:rFonts w:hint="eastAsia" w:ascii="宋体" w:hAnsi="宋体" w:cs="宋体"/>
          <w:color w:val="000000"/>
          <w:kern w:val="0"/>
          <w:sz w:val="21"/>
          <w:szCs w:val="21"/>
          <w:highlight w:val="none"/>
          <w:lang w:val="en-US" w:eastAsia="zh-CN" w:bidi="ar"/>
        </w:rPr>
        <w:t>信息</w:t>
      </w:r>
      <w:r>
        <w:rPr>
          <w:rFonts w:hint="eastAsia" w:ascii="宋体" w:hAnsi="宋体" w:eastAsia="宋体" w:cs="宋体"/>
          <w:color w:val="000000"/>
          <w:kern w:val="0"/>
          <w:sz w:val="21"/>
          <w:szCs w:val="21"/>
          <w:highlight w:val="none"/>
          <w:lang w:val="en-US" w:eastAsia="zh-CN" w:bidi="ar"/>
        </w:rPr>
        <w:t>》发布的人工信息价执行。</w:t>
      </w:r>
    </w:p>
    <w:p w14:paraId="69D1AA9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（4）材料和设备 </w:t>
      </w:r>
    </w:p>
    <w:p w14:paraId="253B62DD">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default" w:ascii="瀹嬩綋" w:hAnsi="瀹嬩綋" w:eastAsia="瀹嬩綋" w:cs="瀹嬩綋"/>
          <w:color w:val="000000"/>
          <w:kern w:val="0"/>
          <w:sz w:val="21"/>
          <w:szCs w:val="21"/>
          <w:highlight w:val="none"/>
          <w:lang w:val="en-US" w:eastAsia="zh-CN" w:bidi="ar"/>
        </w:rPr>
        <w:t>①</w:t>
      </w:r>
      <w:r>
        <w:rPr>
          <w:rFonts w:hint="eastAsia" w:ascii="宋体" w:hAnsi="宋体" w:eastAsia="宋体" w:cs="宋体"/>
          <w:color w:val="000000"/>
          <w:kern w:val="0"/>
          <w:sz w:val="21"/>
          <w:szCs w:val="21"/>
          <w:highlight w:val="none"/>
          <w:lang w:val="en-US" w:eastAsia="zh-CN" w:bidi="ar"/>
        </w:rPr>
        <w:t xml:space="preserve">按重庆市建设工程造价总站主办且配套2018定额使用的2026年第四期《重庆工程造价信息》发布的信息价执行，不执行厂商信息价。 </w:t>
      </w:r>
    </w:p>
    <w:p w14:paraId="26C237C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ascii="瀹嬩綋" w:hAnsi="瀹嬩綋" w:eastAsia="瀹嬩綋" w:cs="瀹嬩綋"/>
          <w:color w:val="000000"/>
          <w:kern w:val="0"/>
          <w:sz w:val="21"/>
          <w:szCs w:val="21"/>
          <w:highlight w:val="none"/>
          <w:lang w:val="en-US" w:eastAsia="zh-CN" w:bidi="ar"/>
        </w:rPr>
        <w:t>②</w:t>
      </w:r>
      <w:r>
        <w:rPr>
          <w:rFonts w:hint="eastAsia" w:ascii="宋体" w:hAnsi="宋体" w:eastAsia="宋体" w:cs="宋体"/>
          <w:color w:val="000000"/>
          <w:kern w:val="0"/>
          <w:sz w:val="21"/>
          <w:szCs w:val="21"/>
          <w:highlight w:val="none"/>
          <w:lang w:val="en-US" w:eastAsia="zh-CN" w:bidi="ar"/>
        </w:rPr>
        <w:t>《重庆工程造价信息》无相应指导价的材料和设备价格确定方法：由比选人组织中选人、监理单位、造价咨询单位等人员共同进行市场询价后综合考虑确定，最终以比选人认质核价为准。比选人审批的材料和设备价格，中选人不予认可的，中选人无条件接受该部分材料和设备改为甲供，同时对中选人处以该部分材料和设备价格10%的违约金。并不就此收取采保费、下车费，由此造成项目工期延误和其它损失的由中选人承担。本工程所需的材料和设备，应在采购前十日内将拟采购材料和设备的厂家、技术参数、品牌、质量等级等指标以书面形式告知比选人，比选人收到中选人的书面报告后十五日内予以确认，经招标人认质、封样（如有必要）后中选人方</w:t>
      </w:r>
      <w:r>
        <w:rPr>
          <w:rFonts w:hint="default" w:ascii="宋体" w:hAnsi="宋体" w:eastAsia="宋体" w:cs="宋体"/>
          <w:color w:val="000000"/>
          <w:kern w:val="0"/>
          <w:sz w:val="21"/>
          <w:szCs w:val="21"/>
          <w:highlight w:val="none"/>
          <w:lang w:val="en-US" w:eastAsia="zh-CN" w:bidi="ar"/>
        </w:rPr>
        <w:t>可采购进场。在材料和设备采购过程中</w:t>
      </w:r>
      <w:r>
        <w:rPr>
          <w:rFonts w:hint="eastAsia" w:ascii="宋体" w:hAnsi="宋体" w:eastAsia="宋体" w:cs="宋体"/>
          <w:color w:val="000000"/>
          <w:kern w:val="0"/>
          <w:sz w:val="21"/>
          <w:szCs w:val="21"/>
          <w:highlight w:val="none"/>
          <w:lang w:val="en-US" w:eastAsia="zh-CN" w:bidi="ar"/>
        </w:rPr>
        <w:t>比选</w:t>
      </w:r>
      <w:r>
        <w:rPr>
          <w:rFonts w:hint="default" w:ascii="宋体" w:hAnsi="宋体" w:eastAsia="宋体" w:cs="宋体"/>
          <w:color w:val="000000"/>
          <w:kern w:val="0"/>
          <w:sz w:val="21"/>
          <w:szCs w:val="21"/>
          <w:highlight w:val="none"/>
          <w:lang w:val="en-US" w:eastAsia="zh-CN" w:bidi="ar"/>
        </w:rPr>
        <w:t>人发现中</w:t>
      </w:r>
      <w:r>
        <w:rPr>
          <w:rFonts w:hint="eastAsia" w:ascii="宋体" w:hAnsi="宋体" w:eastAsia="宋体" w:cs="宋体"/>
          <w:color w:val="000000"/>
          <w:kern w:val="0"/>
          <w:sz w:val="21"/>
          <w:szCs w:val="21"/>
          <w:highlight w:val="none"/>
          <w:lang w:val="en-US" w:eastAsia="zh-CN" w:bidi="ar"/>
        </w:rPr>
        <w:t>选</w:t>
      </w:r>
      <w:r>
        <w:rPr>
          <w:rFonts w:hint="default" w:ascii="宋体" w:hAnsi="宋体" w:eastAsia="宋体" w:cs="宋体"/>
          <w:color w:val="000000"/>
          <w:kern w:val="0"/>
          <w:sz w:val="21"/>
          <w:szCs w:val="21"/>
          <w:highlight w:val="none"/>
          <w:lang w:val="en-US" w:eastAsia="zh-CN" w:bidi="ar"/>
        </w:rPr>
        <w:t>人所采购材料和设备不符合质量要求或者与采购前申报的品牌不符，要求中</w:t>
      </w:r>
      <w:r>
        <w:rPr>
          <w:rFonts w:hint="eastAsia" w:ascii="宋体" w:hAnsi="宋体" w:eastAsia="宋体" w:cs="宋体"/>
          <w:color w:val="000000"/>
          <w:kern w:val="0"/>
          <w:sz w:val="21"/>
          <w:szCs w:val="21"/>
          <w:highlight w:val="none"/>
          <w:lang w:val="en-US" w:eastAsia="zh-CN" w:bidi="ar"/>
        </w:rPr>
        <w:t>选</w:t>
      </w:r>
      <w:r>
        <w:rPr>
          <w:rFonts w:hint="default" w:ascii="宋体" w:hAnsi="宋体" w:eastAsia="宋体" w:cs="宋体"/>
          <w:color w:val="000000"/>
          <w:kern w:val="0"/>
          <w:sz w:val="21"/>
          <w:szCs w:val="21"/>
          <w:highlight w:val="none"/>
          <w:lang w:val="en-US" w:eastAsia="zh-CN" w:bidi="ar"/>
        </w:rPr>
        <w:t>人更换中</w:t>
      </w:r>
      <w:r>
        <w:rPr>
          <w:rFonts w:hint="eastAsia" w:ascii="宋体" w:hAnsi="宋体" w:eastAsia="宋体" w:cs="宋体"/>
          <w:color w:val="000000"/>
          <w:kern w:val="0"/>
          <w:sz w:val="21"/>
          <w:szCs w:val="21"/>
          <w:highlight w:val="none"/>
          <w:lang w:val="en-US" w:eastAsia="zh-CN" w:bidi="ar"/>
        </w:rPr>
        <w:t>选</w:t>
      </w:r>
      <w:r>
        <w:rPr>
          <w:rFonts w:hint="default" w:ascii="宋体" w:hAnsi="宋体" w:eastAsia="宋体" w:cs="宋体"/>
          <w:color w:val="000000"/>
          <w:kern w:val="0"/>
          <w:sz w:val="21"/>
          <w:szCs w:val="21"/>
          <w:highlight w:val="none"/>
          <w:lang w:val="en-US" w:eastAsia="zh-CN" w:bidi="ar"/>
        </w:rPr>
        <w:t>人不予更换的，中</w:t>
      </w:r>
      <w:r>
        <w:rPr>
          <w:rFonts w:hint="eastAsia" w:ascii="宋体" w:hAnsi="宋体" w:eastAsia="宋体" w:cs="宋体"/>
          <w:color w:val="000000"/>
          <w:kern w:val="0"/>
          <w:sz w:val="21"/>
          <w:szCs w:val="21"/>
          <w:highlight w:val="none"/>
          <w:lang w:val="en-US" w:eastAsia="zh-CN" w:bidi="ar"/>
        </w:rPr>
        <w:t>选</w:t>
      </w:r>
      <w:r>
        <w:rPr>
          <w:rFonts w:hint="default" w:ascii="宋体" w:hAnsi="宋体" w:eastAsia="宋体" w:cs="宋体"/>
          <w:color w:val="000000"/>
          <w:kern w:val="0"/>
          <w:sz w:val="21"/>
          <w:szCs w:val="21"/>
          <w:highlight w:val="none"/>
          <w:lang w:val="en-US" w:eastAsia="zh-CN" w:bidi="ar"/>
        </w:rPr>
        <w:t>人无条件接受该部分材料和设备改为甲供，同时处以该部分</w:t>
      </w:r>
      <w:r>
        <w:rPr>
          <w:rFonts w:hint="eastAsia" w:ascii="宋体" w:hAnsi="宋体" w:eastAsia="宋体" w:cs="宋体"/>
          <w:color w:val="000000"/>
          <w:kern w:val="0"/>
          <w:sz w:val="21"/>
          <w:szCs w:val="21"/>
          <w:highlight w:val="none"/>
          <w:lang w:val="en-US" w:eastAsia="zh-CN" w:bidi="ar"/>
        </w:rPr>
        <w:t>比选人</w:t>
      </w:r>
      <w:r>
        <w:rPr>
          <w:rFonts w:hint="default" w:ascii="宋体" w:hAnsi="宋体" w:eastAsia="宋体" w:cs="宋体"/>
          <w:color w:val="000000"/>
          <w:kern w:val="0"/>
          <w:sz w:val="21"/>
          <w:szCs w:val="21"/>
          <w:highlight w:val="none"/>
          <w:lang w:val="en-US" w:eastAsia="zh-CN" w:bidi="ar"/>
        </w:rPr>
        <w:t xml:space="preserve">采购价款总价 </w:t>
      </w:r>
      <w:r>
        <w:rPr>
          <w:rFonts w:hint="eastAsia" w:ascii="宋体" w:hAnsi="宋体" w:eastAsia="宋体" w:cs="宋体"/>
          <w:color w:val="000000"/>
          <w:kern w:val="0"/>
          <w:sz w:val="21"/>
          <w:szCs w:val="21"/>
          <w:highlight w:val="none"/>
          <w:lang w:val="en-US" w:eastAsia="zh-CN" w:bidi="ar"/>
        </w:rPr>
        <w:t>20%</w:t>
      </w:r>
      <w:r>
        <w:rPr>
          <w:rFonts w:hint="default" w:ascii="宋体" w:hAnsi="宋体" w:eastAsia="宋体" w:cs="宋体"/>
          <w:color w:val="000000"/>
          <w:kern w:val="0"/>
          <w:sz w:val="21"/>
          <w:szCs w:val="21"/>
          <w:highlight w:val="none"/>
          <w:lang w:val="en-US" w:eastAsia="zh-CN" w:bidi="ar"/>
        </w:rPr>
        <w:t>的罚款。并不就此收取采保费、下车费，由此造成项目工期延误和其它损失的由中</w:t>
      </w:r>
      <w:r>
        <w:rPr>
          <w:rFonts w:hint="eastAsia" w:ascii="宋体" w:hAnsi="宋体" w:eastAsia="宋体" w:cs="宋体"/>
          <w:color w:val="000000"/>
          <w:kern w:val="0"/>
          <w:sz w:val="21"/>
          <w:szCs w:val="21"/>
          <w:highlight w:val="none"/>
          <w:lang w:val="en-US" w:eastAsia="zh-CN" w:bidi="ar"/>
        </w:rPr>
        <w:t>选</w:t>
      </w:r>
      <w:r>
        <w:rPr>
          <w:rFonts w:hint="default" w:ascii="宋体" w:hAnsi="宋体" w:eastAsia="宋体" w:cs="宋体"/>
          <w:color w:val="000000"/>
          <w:kern w:val="0"/>
          <w:sz w:val="21"/>
          <w:szCs w:val="21"/>
          <w:highlight w:val="none"/>
          <w:lang w:val="en-US" w:eastAsia="zh-CN" w:bidi="ar"/>
        </w:rPr>
        <w:t xml:space="preserve">人承担。 </w:t>
      </w:r>
    </w:p>
    <w:p w14:paraId="7807319D">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瀹嬩綋" w:hAnsi="瀹嬩綋" w:eastAsia="瀹嬩綋" w:cs="瀹嬩綋"/>
          <w:color w:val="000000"/>
          <w:kern w:val="0"/>
          <w:sz w:val="21"/>
          <w:szCs w:val="21"/>
          <w:highlight w:val="none"/>
          <w:lang w:val="en-US" w:eastAsia="zh-CN" w:bidi="ar"/>
        </w:rPr>
        <w:t>③</w:t>
      </w:r>
      <w:r>
        <w:rPr>
          <w:rFonts w:hint="eastAsia" w:ascii="宋体" w:hAnsi="宋体" w:eastAsia="宋体" w:cs="宋体"/>
          <w:color w:val="000000"/>
          <w:kern w:val="0"/>
          <w:sz w:val="21"/>
          <w:szCs w:val="21"/>
          <w:highlight w:val="none"/>
          <w:lang w:val="en-US" w:eastAsia="zh-CN" w:bidi="ar"/>
        </w:rPr>
        <w:t>人工费价差调整办法：</w:t>
      </w:r>
      <w:r>
        <w:rPr>
          <w:rFonts w:hint="eastAsia" w:ascii="宋体" w:hAnsi="宋体" w:eastAsia="宋体" w:cs="宋体"/>
          <w:color w:val="000000"/>
          <w:kern w:val="0"/>
          <w:sz w:val="21"/>
          <w:szCs w:val="21"/>
          <w:highlight w:val="none"/>
          <w:u w:val="single"/>
          <w:lang w:val="en-US" w:eastAsia="zh-CN" w:bidi="ar"/>
        </w:rPr>
        <w:t xml:space="preserve">不调差 </w:t>
      </w:r>
    </w:p>
    <w:p w14:paraId="485313D5">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（5）措施费计价原则：按《重庆市建设工程费用定额》（CQFYDE-2018）及相关文件规定执行。 </w:t>
      </w:r>
    </w:p>
    <w:p w14:paraId="38AD7C7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（6）安全文明施工费： </w:t>
      </w:r>
    </w:p>
    <w:p w14:paraId="10736BE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default" w:ascii="瀹嬩綋" w:hAnsi="瀹嬩綋" w:eastAsia="瀹嬩綋" w:cs="瀹嬩綋"/>
          <w:color w:val="000000"/>
          <w:kern w:val="0"/>
          <w:sz w:val="21"/>
          <w:szCs w:val="21"/>
          <w:highlight w:val="none"/>
          <w:lang w:val="en-US" w:eastAsia="zh-CN" w:bidi="ar"/>
        </w:rPr>
        <w:t>①</w:t>
      </w:r>
      <w:r>
        <w:rPr>
          <w:rFonts w:hint="eastAsia" w:ascii="宋体" w:hAnsi="宋体" w:eastAsia="宋体" w:cs="宋体"/>
          <w:color w:val="000000"/>
          <w:kern w:val="0"/>
          <w:sz w:val="21"/>
          <w:szCs w:val="21"/>
          <w:highlight w:val="none"/>
          <w:lang w:val="en-US" w:eastAsia="zh-CN" w:bidi="ar"/>
        </w:rPr>
        <w:t>根据《重庆城乡建设委员会关于印《重庆市建设工程安全文明施工费计取及使用管理规定(2024版)》(渝建管〔2024〕38号〕文件规定，安全文明施工费由安全施工费、文明施工费、环境保护费及临时设施费组成。</w:t>
      </w:r>
    </w:p>
    <w:p w14:paraId="3EC882A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ascii="瀹嬩綋" w:hAnsi="瀹嬩綋" w:eastAsia="瀹嬩綋" w:cs="瀹嬩綋"/>
          <w:color w:val="000000"/>
          <w:kern w:val="0"/>
          <w:sz w:val="21"/>
          <w:szCs w:val="21"/>
          <w:highlight w:val="none"/>
          <w:lang w:val="en-US" w:eastAsia="zh-CN" w:bidi="ar"/>
        </w:rPr>
        <w:t>②</w:t>
      </w:r>
      <w:r>
        <w:rPr>
          <w:rFonts w:hint="eastAsia" w:ascii="宋体" w:hAnsi="宋体" w:eastAsia="宋体" w:cs="宋体"/>
          <w:color w:val="000000"/>
          <w:kern w:val="0"/>
          <w:sz w:val="21"/>
          <w:szCs w:val="21"/>
          <w:highlight w:val="none"/>
          <w:lang w:val="en-US" w:eastAsia="zh-CN" w:bidi="ar"/>
        </w:rPr>
        <w:t>本工程安全文明施工费根据《建设工程工程量清单计价规范》（GB50500-2013）、《重庆市建设工程工程量清单计价规则》（CQJJGZ-2013）、《重庆城乡建设委员会关于印《重庆市建设工程安全文明施工费计取及使用管理规定(2024版)》(渝建管〔2024〕38号〕、《重庆市住房和城乡建设委员会关于调整建设施工现场形象品质提升安全文明施工费计取的通知》（渝建管〔2020〕97 号）、《重庆市建设工程费用定额》（CQFYDE-2018）、《重庆市城乡建设委员会关于适用增值税新税率调整建设工程计价依据的通知》（渝建〔2019〕143 号）的相关规定和费用标准单列计算。</w:t>
      </w:r>
    </w:p>
    <w:p w14:paraId="3E6EE6D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（7）本项目所采用技术、工艺和产品等必须执行重庆市住房和城乡建设委员会关于发布《重庆市建设领域禁止、限制使用落后技术通告（2019 年版）（渝建发〔2019〕25 号）的规定。 </w:t>
      </w:r>
    </w:p>
    <w:p w14:paraId="6F9A928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瀹嬩綋" w:hAnsi="瀹嬩綋" w:eastAsia="瀹嬩綋" w:cs="瀹嬩綋"/>
          <w:color w:val="000000"/>
          <w:kern w:val="0"/>
          <w:sz w:val="21"/>
          <w:szCs w:val="21"/>
          <w:highlight w:val="none"/>
          <w:u w:val="single"/>
          <w:lang w:val="en-US" w:eastAsia="zh-CN" w:bidi="ar"/>
        </w:rPr>
      </w:pPr>
      <w:r>
        <w:rPr>
          <w:rFonts w:hint="eastAsia" w:ascii="宋体" w:hAnsi="宋体" w:eastAsia="宋体" w:cs="宋体"/>
          <w:color w:val="000000"/>
          <w:kern w:val="0"/>
          <w:sz w:val="21"/>
          <w:szCs w:val="21"/>
          <w:highlight w:val="none"/>
          <w:lang w:val="en-US" w:eastAsia="zh-CN" w:bidi="ar"/>
        </w:rPr>
        <w:t>（8）增值税计税方法由招标人依据国家税法规定选择：</w:t>
      </w:r>
      <w:r>
        <w:rPr>
          <w:rFonts w:hint="default" w:ascii="宋体" w:hAnsi="宋体" w:eastAsia="宋体" w:cs="宋体"/>
          <w:color w:val="000000"/>
          <w:kern w:val="0"/>
          <w:sz w:val="21"/>
          <w:szCs w:val="21"/>
          <w:highlight w:val="none"/>
          <w:u w:val="single"/>
          <w:lang w:val="en-US" w:eastAsia="zh-CN" w:bidi="ar"/>
        </w:rPr>
        <w:t>一般计税法</w:t>
      </w:r>
      <w:r>
        <w:rPr>
          <w:rFonts w:hint="eastAsia" w:ascii="宋体" w:hAnsi="宋体" w:eastAsia="宋体" w:cs="宋体"/>
          <w:color w:val="000000"/>
          <w:kern w:val="0"/>
          <w:sz w:val="21"/>
          <w:szCs w:val="21"/>
          <w:highlight w:val="none"/>
          <w:u w:val="single"/>
          <w:lang w:val="en-US" w:eastAsia="zh-CN" w:bidi="ar"/>
        </w:rPr>
        <w:t>。</w:t>
      </w:r>
    </w:p>
    <w:p w14:paraId="7CB5E53C">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（9）参选人</w:t>
      </w:r>
      <w:r>
        <w:rPr>
          <w:rFonts w:hint="default" w:ascii="宋体" w:hAnsi="宋体" w:eastAsia="宋体" w:cs="宋体"/>
          <w:color w:val="000000"/>
          <w:kern w:val="0"/>
          <w:sz w:val="21"/>
          <w:szCs w:val="21"/>
          <w:highlight w:val="none"/>
          <w:lang w:val="en-US" w:eastAsia="zh-CN" w:bidi="ar"/>
        </w:rPr>
        <w:t>报工程费固定费率时，应将完成该工程发生的包括但不限于以下措施及风险费用纳入本次</w:t>
      </w:r>
      <w:r>
        <w:rPr>
          <w:rFonts w:hint="eastAsia" w:ascii="宋体" w:hAnsi="宋体" w:eastAsia="宋体" w:cs="宋体"/>
          <w:color w:val="000000"/>
          <w:kern w:val="0"/>
          <w:sz w:val="21"/>
          <w:szCs w:val="21"/>
          <w:highlight w:val="none"/>
          <w:lang w:val="en-US" w:eastAsia="zh-CN" w:bidi="ar"/>
        </w:rPr>
        <w:t>参选</w:t>
      </w:r>
      <w:r>
        <w:rPr>
          <w:rFonts w:hint="default" w:ascii="宋体" w:hAnsi="宋体" w:eastAsia="宋体" w:cs="宋体"/>
          <w:color w:val="000000"/>
          <w:kern w:val="0"/>
          <w:sz w:val="21"/>
          <w:szCs w:val="21"/>
          <w:highlight w:val="none"/>
          <w:lang w:val="en-US" w:eastAsia="zh-CN" w:bidi="ar"/>
        </w:rPr>
        <w:t xml:space="preserve">报价内，清单预算编制及结算时不再单独计量计价： </w:t>
      </w:r>
    </w:p>
    <w:p w14:paraId="3FCABFE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①本工程位于风景旅游区，因旅游限制、旅游管控、旅游检查、旅游人流量多等需采取各种安全、文明措施、管控措施或因上述原因</w:t>
      </w:r>
      <w:r>
        <w:rPr>
          <w:rFonts w:hint="eastAsia" w:ascii="宋体" w:hAnsi="宋体" w:eastAsia="宋体" w:cs="宋体"/>
          <w:color w:val="000000"/>
          <w:kern w:val="0"/>
          <w:sz w:val="21"/>
          <w:szCs w:val="21"/>
          <w:highlight w:val="none"/>
          <w:lang w:val="en-US" w:eastAsia="zh-CN" w:bidi="ar"/>
        </w:rPr>
        <w:t>引起的后续赶工措施等所发生的费用。</w:t>
      </w:r>
    </w:p>
    <w:p w14:paraId="23160DB8">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②参选人必须仔细勘察施工现场，自行考虑材料、建筑垃圾和各</w:t>
      </w:r>
      <w:r>
        <w:rPr>
          <w:rFonts w:hint="default" w:ascii="宋体" w:hAnsi="宋体" w:eastAsia="宋体" w:cs="宋体"/>
          <w:color w:val="000000"/>
          <w:kern w:val="0"/>
          <w:sz w:val="21"/>
          <w:szCs w:val="21"/>
          <w:highlight w:val="none"/>
          <w:lang w:val="en-US" w:eastAsia="zh-CN" w:bidi="ar"/>
        </w:rPr>
        <w:t xml:space="preserve">类机械设备等的二次及多次运转以及因转运需要修建的临时道路所发生的费用； </w:t>
      </w:r>
    </w:p>
    <w:p w14:paraId="6C188AD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③</w:t>
      </w:r>
      <w:r>
        <w:rPr>
          <w:rFonts w:hint="default" w:ascii="宋体" w:hAnsi="宋体" w:eastAsia="宋体" w:cs="宋体"/>
          <w:color w:val="000000"/>
          <w:kern w:val="0"/>
          <w:sz w:val="21"/>
          <w:szCs w:val="21"/>
          <w:highlight w:val="none"/>
          <w:lang w:val="en-US" w:eastAsia="zh-CN" w:bidi="ar"/>
        </w:rPr>
        <w:t>工程所需要的临时设施用地手续的办理费用、工程范围内所有项目完工后的拆走、清理、清洁（初次开荒）、平整以及除渣（包括场内外运输以及渣场）的费用、按照相关单位有关现场安全文明、环境保护、消防等管理要求需由</w:t>
      </w:r>
      <w:r>
        <w:rPr>
          <w:rFonts w:hint="eastAsia" w:ascii="宋体" w:hAnsi="宋体" w:eastAsia="宋体" w:cs="宋体"/>
          <w:color w:val="000000"/>
          <w:kern w:val="0"/>
          <w:sz w:val="21"/>
          <w:szCs w:val="21"/>
          <w:highlight w:val="none"/>
          <w:lang w:val="en-US" w:eastAsia="zh-CN" w:bidi="ar"/>
        </w:rPr>
        <w:t>参选</w:t>
      </w:r>
      <w:r>
        <w:rPr>
          <w:rFonts w:hint="default" w:ascii="宋体" w:hAnsi="宋体" w:eastAsia="宋体" w:cs="宋体"/>
          <w:color w:val="000000"/>
          <w:kern w:val="0"/>
          <w:sz w:val="21"/>
          <w:szCs w:val="21"/>
          <w:highlight w:val="none"/>
          <w:lang w:val="en-US" w:eastAsia="zh-CN" w:bidi="ar"/>
        </w:rPr>
        <w:t xml:space="preserve">方自行设置的现场标识、安全标示、 </w:t>
      </w:r>
    </w:p>
    <w:p w14:paraId="0316413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val="en-US" w:eastAsia="zh-CN" w:bidi="ar"/>
        </w:rPr>
        <w:t xml:space="preserve">工器具等费用； </w:t>
      </w:r>
    </w:p>
    <w:p w14:paraId="5E7AE47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④</w:t>
      </w:r>
      <w:r>
        <w:rPr>
          <w:rFonts w:hint="default" w:ascii="宋体" w:hAnsi="宋体" w:eastAsia="宋体" w:cs="宋体"/>
          <w:color w:val="000000"/>
          <w:kern w:val="0"/>
          <w:sz w:val="21"/>
          <w:szCs w:val="21"/>
          <w:highlight w:val="none"/>
          <w:lang w:val="en-US" w:eastAsia="zh-CN" w:bidi="ar"/>
        </w:rPr>
        <w:t>反季节栽植措施、高温补贴和迎接各类检查发生的费用</w:t>
      </w:r>
      <w:r>
        <w:rPr>
          <w:rFonts w:hint="eastAsia" w:ascii="宋体" w:hAnsi="宋体" w:eastAsia="宋体" w:cs="宋体"/>
          <w:color w:val="000000"/>
          <w:kern w:val="0"/>
          <w:sz w:val="21"/>
          <w:szCs w:val="21"/>
          <w:highlight w:val="none"/>
          <w:lang w:val="en-US" w:eastAsia="zh-CN" w:bidi="ar"/>
        </w:rPr>
        <w:t>；</w:t>
      </w:r>
    </w:p>
    <w:p w14:paraId="52F57BEE">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⑤除拆除工程外参选人应充分考虑弃渣的所有费用（包含但不限</w:t>
      </w:r>
      <w:r>
        <w:rPr>
          <w:rFonts w:hint="default" w:ascii="宋体" w:hAnsi="宋体" w:eastAsia="宋体" w:cs="宋体"/>
          <w:color w:val="000000"/>
          <w:kern w:val="0"/>
          <w:sz w:val="21"/>
          <w:szCs w:val="21"/>
          <w:highlight w:val="none"/>
          <w:lang w:val="en-US" w:eastAsia="zh-CN" w:bidi="ar"/>
        </w:rPr>
        <w:t xml:space="preserve">于如渣场的确定、堆放、平整、安全、稳定、管理、租借等）； </w:t>
      </w:r>
    </w:p>
    <w:p w14:paraId="5D8E9FAC">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⑥</w:t>
      </w:r>
      <w:r>
        <w:rPr>
          <w:rFonts w:hint="default" w:ascii="宋体" w:hAnsi="宋体" w:eastAsia="宋体" w:cs="宋体"/>
          <w:color w:val="000000"/>
          <w:kern w:val="0"/>
          <w:sz w:val="21"/>
          <w:szCs w:val="21"/>
          <w:highlight w:val="none"/>
          <w:lang w:val="en-US" w:eastAsia="zh-CN" w:bidi="ar"/>
        </w:rPr>
        <w:t>交通组织措施费用应包含</w:t>
      </w:r>
      <w:r>
        <w:rPr>
          <w:rFonts w:hint="eastAsia" w:ascii="宋体" w:hAnsi="宋体" w:cs="宋体"/>
          <w:color w:val="000000"/>
          <w:kern w:val="0"/>
          <w:sz w:val="21"/>
          <w:szCs w:val="21"/>
          <w:highlight w:val="none"/>
          <w:lang w:val="en-US" w:eastAsia="zh-CN" w:bidi="ar"/>
        </w:rPr>
        <w:t>交通组织方案的编审费用、</w:t>
      </w:r>
      <w:r>
        <w:rPr>
          <w:rFonts w:hint="default" w:ascii="宋体" w:hAnsi="宋体" w:eastAsia="宋体" w:cs="宋体"/>
          <w:color w:val="000000"/>
          <w:kern w:val="0"/>
          <w:sz w:val="21"/>
          <w:szCs w:val="21"/>
          <w:highlight w:val="none"/>
          <w:lang w:val="en-US" w:eastAsia="zh-CN" w:bidi="ar"/>
        </w:rPr>
        <w:t>开口费、恢复费、市政围挡、每个开</w:t>
      </w:r>
      <w:r>
        <w:rPr>
          <w:rFonts w:hint="eastAsia" w:ascii="宋体" w:hAnsi="宋体" w:eastAsia="宋体" w:cs="宋体"/>
          <w:color w:val="000000"/>
          <w:kern w:val="0"/>
          <w:sz w:val="21"/>
          <w:szCs w:val="21"/>
          <w:highlight w:val="none"/>
          <w:lang w:val="en-US" w:eastAsia="zh-CN" w:bidi="ar"/>
        </w:rPr>
        <w:t>口需配置</w:t>
      </w:r>
      <w:r>
        <w:rPr>
          <w:rFonts w:hint="eastAsia" w:ascii="宋体" w:hAnsi="宋体" w:cs="宋体"/>
          <w:color w:val="000000"/>
          <w:kern w:val="0"/>
          <w:sz w:val="21"/>
          <w:szCs w:val="21"/>
          <w:highlight w:val="none"/>
          <w:lang w:val="en-US" w:eastAsia="zh-CN" w:bidi="ar"/>
        </w:rPr>
        <w:t>满足方案要求的相关数量</w:t>
      </w:r>
      <w:r>
        <w:rPr>
          <w:rFonts w:hint="eastAsia" w:ascii="宋体" w:hAnsi="宋体" w:eastAsia="宋体" w:cs="宋体"/>
          <w:color w:val="000000"/>
          <w:kern w:val="0"/>
          <w:sz w:val="21"/>
          <w:szCs w:val="21"/>
          <w:highlight w:val="none"/>
          <w:lang w:val="en-US" w:eastAsia="zh-CN" w:bidi="ar"/>
        </w:rPr>
        <w:t>人员等</w:t>
      </w:r>
      <w:r>
        <w:rPr>
          <w:rFonts w:hint="eastAsia" w:ascii="宋体" w:hAnsi="宋体" w:cs="宋体"/>
          <w:color w:val="000000"/>
          <w:kern w:val="0"/>
          <w:sz w:val="21"/>
          <w:szCs w:val="21"/>
          <w:highlight w:val="none"/>
          <w:lang w:val="en-US" w:eastAsia="zh-CN" w:bidi="ar"/>
        </w:rPr>
        <w:t>所有</w:t>
      </w:r>
      <w:r>
        <w:rPr>
          <w:rFonts w:hint="eastAsia" w:ascii="宋体" w:hAnsi="宋体" w:eastAsia="宋体" w:cs="宋体"/>
          <w:color w:val="000000"/>
          <w:kern w:val="0"/>
          <w:sz w:val="21"/>
          <w:szCs w:val="21"/>
          <w:highlight w:val="none"/>
          <w:lang w:val="en-US" w:eastAsia="zh-CN" w:bidi="ar"/>
        </w:rPr>
        <w:t>措施</w:t>
      </w:r>
      <w:r>
        <w:rPr>
          <w:rFonts w:hint="eastAsia" w:ascii="宋体" w:hAnsi="宋体" w:cs="宋体"/>
          <w:color w:val="000000"/>
          <w:kern w:val="0"/>
          <w:sz w:val="21"/>
          <w:szCs w:val="21"/>
          <w:highlight w:val="none"/>
          <w:lang w:val="en-US" w:eastAsia="zh-CN" w:bidi="ar"/>
        </w:rPr>
        <w:t>费用</w:t>
      </w:r>
      <w:r>
        <w:rPr>
          <w:rFonts w:hint="eastAsia" w:ascii="宋体" w:hAnsi="宋体" w:eastAsia="宋体" w:cs="宋体"/>
          <w:color w:val="000000"/>
          <w:kern w:val="0"/>
          <w:sz w:val="21"/>
          <w:szCs w:val="21"/>
          <w:highlight w:val="none"/>
          <w:lang w:val="en-US" w:eastAsia="zh-CN" w:bidi="ar"/>
        </w:rPr>
        <w:t xml:space="preserve">。交通组织措施费包含在施工技术措施项目清单中，纳入本次参选报价； </w:t>
      </w:r>
    </w:p>
    <w:p w14:paraId="28941E43">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⑦</w:t>
      </w:r>
      <w:r>
        <w:rPr>
          <w:rFonts w:hint="default" w:ascii="宋体" w:hAnsi="宋体" w:eastAsia="宋体" w:cs="宋体"/>
          <w:color w:val="000000"/>
          <w:kern w:val="0"/>
          <w:sz w:val="21"/>
          <w:szCs w:val="21"/>
          <w:highlight w:val="none"/>
          <w:lang w:val="en-US" w:eastAsia="zh-CN" w:bidi="ar"/>
        </w:rPr>
        <w:t>环保部门应收取的工程排污费、土石方和建渣市政上路费由</w:t>
      </w:r>
      <w:r>
        <w:rPr>
          <w:rFonts w:hint="eastAsia" w:ascii="宋体" w:hAnsi="宋体" w:eastAsia="宋体" w:cs="宋体"/>
          <w:color w:val="000000"/>
          <w:kern w:val="0"/>
          <w:sz w:val="21"/>
          <w:szCs w:val="21"/>
          <w:highlight w:val="none"/>
          <w:lang w:val="en-US" w:eastAsia="zh-CN" w:bidi="ar"/>
        </w:rPr>
        <w:t>参选人</w:t>
      </w:r>
      <w:r>
        <w:rPr>
          <w:rFonts w:hint="default" w:ascii="宋体" w:hAnsi="宋体" w:eastAsia="宋体" w:cs="宋体"/>
          <w:color w:val="000000"/>
          <w:kern w:val="0"/>
          <w:sz w:val="21"/>
          <w:szCs w:val="21"/>
          <w:highlight w:val="none"/>
          <w:lang w:val="en-US" w:eastAsia="zh-CN" w:bidi="ar"/>
        </w:rPr>
        <w:t>自行测算并按现行收费标准缴纳，</w:t>
      </w:r>
      <w:r>
        <w:rPr>
          <w:rFonts w:hint="eastAsia" w:ascii="宋体" w:hAnsi="宋体" w:eastAsia="宋体" w:cs="宋体"/>
          <w:color w:val="000000"/>
          <w:kern w:val="0"/>
          <w:sz w:val="21"/>
          <w:szCs w:val="21"/>
          <w:highlight w:val="none"/>
          <w:lang w:val="en-US" w:eastAsia="zh-CN" w:bidi="ar"/>
        </w:rPr>
        <w:t>参选人</w:t>
      </w:r>
      <w:r>
        <w:rPr>
          <w:rFonts w:hint="default" w:ascii="宋体" w:hAnsi="宋体" w:eastAsia="宋体" w:cs="宋体"/>
          <w:color w:val="000000"/>
          <w:kern w:val="0"/>
          <w:sz w:val="21"/>
          <w:szCs w:val="21"/>
          <w:highlight w:val="none"/>
          <w:lang w:val="en-US" w:eastAsia="zh-CN" w:bidi="ar"/>
        </w:rPr>
        <w:t>投标时，将此费用综合考虑在投标报价内</w:t>
      </w:r>
      <w:r>
        <w:rPr>
          <w:rFonts w:hint="eastAsia" w:ascii="宋体" w:hAnsi="宋体" w:eastAsia="宋体" w:cs="宋体"/>
          <w:color w:val="000000"/>
          <w:kern w:val="0"/>
          <w:sz w:val="21"/>
          <w:szCs w:val="21"/>
          <w:highlight w:val="none"/>
          <w:lang w:val="en-US" w:eastAsia="zh-CN" w:bidi="ar"/>
        </w:rPr>
        <w:t>。</w:t>
      </w:r>
    </w:p>
    <w:p w14:paraId="1B16E43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10）中选人应根据前述报价原则和计价原则编制工程量清单并进行清单组价（清单组价应按中标下浮比例（中选下浮比例=1-工程费固定费率）下浮）并向比选人申报，由比选人委托第三方咨询机构进行审查，审定的工程量清单及其综合单价作为进度款支付及结算依据，结算时工程量据实结算。</w:t>
      </w:r>
    </w:p>
    <w:p w14:paraId="4F7A8A5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highlight w:val="none"/>
        </w:rPr>
      </w:pPr>
      <w:r>
        <w:rPr>
          <w:rFonts w:hint="eastAsia" w:ascii="宋体" w:hAnsi="宋体" w:eastAsia="宋体" w:cs="宋体"/>
          <w:b w:val="0"/>
          <w:bCs w:val="0"/>
          <w:color w:val="000000"/>
          <w:kern w:val="0"/>
          <w:sz w:val="21"/>
          <w:szCs w:val="21"/>
          <w:highlight w:val="none"/>
          <w:lang w:val="en-US" w:eastAsia="zh-CN" w:bidi="ar"/>
        </w:rPr>
        <w:t xml:space="preserve">3.1.6结算原则 </w:t>
      </w:r>
    </w:p>
    <w:p w14:paraId="435BC813">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u w:val="single"/>
        </w:rPr>
      </w:pPr>
      <w:r>
        <w:rPr>
          <w:rFonts w:hint="eastAsia" w:ascii="宋体" w:hAnsi="宋体" w:eastAsia="宋体" w:cs="宋体"/>
          <w:color w:val="000000"/>
          <w:kern w:val="0"/>
          <w:sz w:val="21"/>
          <w:szCs w:val="21"/>
          <w:highlight w:val="none"/>
          <w:u w:val="single"/>
          <w:lang w:val="en-US" w:eastAsia="zh-CN" w:bidi="ar"/>
        </w:rPr>
        <w:t xml:space="preserve">合同结算价=全费用设计费+工程结算价±合同约定的其他费用。合同约定的其他费用包括变更结算金额、索赔赔付金额、奖励、罚金、违约金、价差调整等。 </w:t>
      </w:r>
    </w:p>
    <w:p w14:paraId="54C1A18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（一）设计费结算原则 </w:t>
      </w:r>
    </w:p>
    <w:p w14:paraId="4227A63B">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u w:val="single"/>
        </w:rPr>
      </w:pPr>
      <w:r>
        <w:rPr>
          <w:rFonts w:hint="eastAsia" w:ascii="宋体" w:hAnsi="宋体" w:eastAsia="宋体" w:cs="宋体"/>
          <w:color w:val="000000"/>
          <w:kern w:val="0"/>
          <w:sz w:val="21"/>
          <w:szCs w:val="21"/>
          <w:highlight w:val="none"/>
          <w:u w:val="single"/>
          <w:lang w:val="en-US" w:eastAsia="zh-CN" w:bidi="ar"/>
        </w:rPr>
        <w:t xml:space="preserve">设计费按照合同签订金额包干价结算。中选人提供的设计文件必须实现招标人意图，满足项目功能需求、满足国家、行业相关规范及招标人技术标准要求，因中选人自身原因造成的设计文件有缺陷，中选人应无条件修改设计及施工内容，由此增加的设计费、建安工程费及其它费用均由中选人自行承担。 </w:t>
      </w:r>
    </w:p>
    <w:p w14:paraId="2971D26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（二）工程费结算原则 </w:t>
      </w:r>
    </w:p>
    <w:p w14:paraId="54CA924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w:t>
      </w:r>
      <w:r>
        <w:rPr>
          <w:rFonts w:hint="eastAsia" w:ascii="宋体" w:hAnsi="宋体" w:cs="宋体"/>
          <w:color w:val="000000"/>
          <w:kern w:val="0"/>
          <w:sz w:val="21"/>
          <w:szCs w:val="21"/>
          <w:highlight w:val="none"/>
          <w:lang w:val="en-US" w:eastAsia="zh-CN" w:bidi="ar"/>
        </w:rPr>
        <w:t>工程</w:t>
      </w:r>
      <w:r>
        <w:rPr>
          <w:rFonts w:hint="eastAsia" w:ascii="宋体" w:hAnsi="宋体" w:eastAsia="宋体" w:cs="宋体"/>
          <w:color w:val="000000"/>
          <w:kern w:val="0"/>
          <w:sz w:val="21"/>
          <w:szCs w:val="21"/>
          <w:highlight w:val="none"/>
          <w:lang w:val="en-US" w:eastAsia="zh-CN" w:bidi="ar"/>
        </w:rPr>
        <w:t>预算编制</w:t>
      </w:r>
    </w:p>
    <w:p w14:paraId="7B8FC51C">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中选人在设计图纸编制完成后，应根据本比选文件中所规定的参选报价中规定的报价原则和计价原则及中标下浮比例（中选下浮比例=1-工程费固定费率）编制工程量清单并进行清单组价（清单组价应按中标下浮比例下浮）并向比选人申报（比选人审定设计图纸后，中选人应按审定后的图纸对工程量清单和清单组价进行调整后再次报），由比选人审查后，审定的工程量清单及其综合单价作为进度款支付及结算依据，工程量据实结算；中选</w:t>
      </w:r>
      <w:r>
        <w:rPr>
          <w:rFonts w:hint="default" w:ascii="宋体" w:hAnsi="宋体" w:eastAsia="宋体" w:cs="宋体"/>
          <w:color w:val="000000"/>
          <w:kern w:val="0"/>
          <w:sz w:val="21"/>
          <w:szCs w:val="21"/>
          <w:highlight w:val="none"/>
          <w:lang w:val="en-US" w:eastAsia="zh-CN" w:bidi="ar"/>
        </w:rPr>
        <w:t xml:space="preserve">人申报的工程量清单及其组价应真实准确，根据施工图如有漏项，视为已包含在其他清单项目中结算时不予另行计算。下浮比例为税前总造价下浮（其中认质核价部分、安全文明施工费、规费、单独另有约定的项目不下浮），工程费建安工程费固定费率固定不变，不因任何因素调整。 </w:t>
      </w:r>
    </w:p>
    <w:p w14:paraId="24F3421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（2）工程费结算</w:t>
      </w:r>
    </w:p>
    <w:p w14:paraId="0940B7E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特别说明：</w:t>
      </w:r>
      <w:r>
        <w:rPr>
          <w:rFonts w:hint="eastAsia" w:ascii="宋体" w:hAnsi="宋体" w:eastAsia="宋体" w:cs="宋体"/>
          <w:color w:val="000000"/>
          <w:kern w:val="0"/>
          <w:sz w:val="21"/>
          <w:szCs w:val="21"/>
          <w:highlight w:val="none"/>
          <w:u w:val="single"/>
          <w:lang w:val="en-US" w:eastAsia="zh-CN" w:bidi="ar"/>
        </w:rPr>
        <w:t>本项目工程部分采取限额结算。以</w:t>
      </w:r>
      <w:r>
        <w:rPr>
          <w:rFonts w:hint="eastAsia" w:ascii="宋体" w:hAnsi="宋体" w:cs="宋体"/>
          <w:color w:val="000000"/>
          <w:kern w:val="0"/>
          <w:sz w:val="21"/>
          <w:szCs w:val="21"/>
          <w:highlight w:val="none"/>
          <w:u w:val="single"/>
          <w:lang w:val="en-US" w:eastAsia="zh-CN" w:bidi="ar"/>
        </w:rPr>
        <w:t>679300</w:t>
      </w:r>
      <w:r>
        <w:rPr>
          <w:rFonts w:hint="eastAsia" w:ascii="宋体" w:hAnsi="宋体" w:eastAsia="宋体" w:cs="宋体"/>
          <w:color w:val="000000"/>
          <w:kern w:val="0"/>
          <w:sz w:val="21"/>
          <w:szCs w:val="21"/>
          <w:highlight w:val="none"/>
          <w:u w:val="single"/>
          <w:lang w:val="en-US" w:eastAsia="zh-CN" w:bidi="ar"/>
        </w:rPr>
        <w:t xml:space="preserve">元作为结算限额，工程结算金额在结算限额内时，根据结算原则按实结算；若工程结算金额超过结算限额时，按结算限额结算。 </w:t>
      </w:r>
    </w:p>
    <w:p w14:paraId="0014D53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highlight w:val="none"/>
          <w:u w:val="single"/>
          <w:lang w:val="en-US" w:eastAsia="zh-CN" w:bidi="ar"/>
        </w:rPr>
      </w:pPr>
      <w:r>
        <w:rPr>
          <w:rFonts w:hint="eastAsia" w:ascii="宋体" w:hAnsi="宋体" w:eastAsia="宋体" w:cs="宋体"/>
          <w:color w:val="000000"/>
          <w:kern w:val="0"/>
          <w:sz w:val="21"/>
          <w:szCs w:val="21"/>
          <w:highlight w:val="none"/>
          <w:u w:val="single"/>
          <w:lang w:val="en-US" w:eastAsia="zh-CN" w:bidi="ar"/>
        </w:rPr>
        <w:t>结算价=已完工合格分部分项工程量清单结算价+措施费(安全文明施工费除外)+分部分项工程量清单新增或变更等引起的增(减)子项结算价+暂列金额确定价+安全文明施工费+规费+税金，各部分的结算原则如下：</w:t>
      </w:r>
    </w:p>
    <w:p w14:paraId="7F9E881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1）各分部分项工程工程量清单结算价：</w:t>
      </w:r>
    </w:p>
    <w:p w14:paraId="66E44BB5">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Calibri" w:hAnsi="Calibri" w:eastAsia="宋体" w:cs="Calibri"/>
          <w:color w:val="000000"/>
          <w:kern w:val="0"/>
          <w:sz w:val="21"/>
          <w:szCs w:val="21"/>
          <w:highlight w:val="none"/>
          <w:lang w:val="en-US" w:eastAsia="zh-CN" w:bidi="ar"/>
        </w:rPr>
        <w:t>①</w:t>
      </w:r>
      <w:r>
        <w:rPr>
          <w:rFonts w:hint="eastAsia" w:ascii="宋体" w:hAnsi="宋体" w:eastAsia="宋体" w:cs="宋体"/>
          <w:color w:val="000000"/>
          <w:kern w:val="0"/>
          <w:sz w:val="21"/>
          <w:szCs w:val="21"/>
          <w:highlight w:val="none"/>
          <w:lang w:val="en-US" w:eastAsia="zh-CN" w:bidi="ar"/>
        </w:rPr>
        <w:t>子项工程量：子项工程量按《建设工程工程量清单计价规范》(GB50500-2013)、《市政工程工程量计算规范》(GB50857-2013)和《重庆市建设工程工程量计算规则》(CQJLGZ-2013)约定的计量规则计算的实际合格工程量，工程量计算以施工图及设计变更、有效签字资料结合竣工图和现场实际情况作为依据进行结算审核，并经审计(评审)后作为结算依据。</w:t>
      </w:r>
    </w:p>
    <w:p w14:paraId="606F0E0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000000"/>
          <w:kern w:val="0"/>
          <w:sz w:val="21"/>
          <w:szCs w:val="21"/>
          <w:highlight w:val="none"/>
          <w:lang w:val="en-US" w:eastAsia="zh-CN" w:bidi="ar"/>
        </w:rPr>
      </w:pPr>
      <w:r>
        <w:rPr>
          <w:rFonts w:hint="eastAsia" w:ascii="Calibri" w:hAnsi="Calibri" w:eastAsia="宋体" w:cs="Calibri"/>
          <w:color w:val="000000"/>
          <w:kern w:val="0"/>
          <w:sz w:val="21"/>
          <w:szCs w:val="21"/>
          <w:highlight w:val="none"/>
          <w:lang w:val="en-US" w:eastAsia="zh-CN" w:bidi="ar"/>
        </w:rPr>
        <w:t>②</w:t>
      </w:r>
      <w:r>
        <w:rPr>
          <w:rFonts w:hint="eastAsia" w:ascii="宋体" w:hAnsi="宋体" w:eastAsia="宋体" w:cs="宋体"/>
          <w:color w:val="000000"/>
          <w:kern w:val="0"/>
          <w:sz w:val="21"/>
          <w:szCs w:val="21"/>
          <w:highlight w:val="none"/>
          <w:lang w:val="en-US" w:eastAsia="zh-CN" w:bidi="ar"/>
        </w:rPr>
        <w:t>子项综合单价：以比选人审核的综合单价作为结算依据。</w:t>
      </w:r>
    </w:p>
    <w:p w14:paraId="15C37C4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2）材料价差的调整：本项目材料价差不调整。</w:t>
      </w:r>
    </w:p>
    <w:p w14:paraId="39B2F5E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3）措施费：按《重庆市建设工程费用定额》（CQFYDE-2018）及相关文件规定执行。 </w:t>
      </w:r>
    </w:p>
    <w:p w14:paraId="492E04A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4）安全文明施工费： </w:t>
      </w:r>
    </w:p>
    <w:p w14:paraId="29595C5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highlight w:val="none"/>
        </w:rPr>
      </w:pPr>
      <w:r>
        <w:rPr>
          <w:rFonts w:hint="eastAsia" w:ascii="宋体" w:hAnsi="宋体" w:eastAsia="宋体" w:cs="宋体"/>
          <w:color w:val="000000"/>
          <w:kern w:val="0"/>
          <w:sz w:val="21"/>
          <w:szCs w:val="21"/>
          <w:highlight w:val="none"/>
          <w:lang w:val="en-US" w:eastAsia="zh-CN" w:bidi="ar"/>
        </w:rPr>
        <w:t>按照</w:t>
      </w:r>
      <w:r>
        <w:rPr>
          <w:rFonts w:hint="eastAsia"/>
          <w:highlight w:val="none"/>
        </w:rPr>
        <w:t>《重庆城乡建设委员会关于印《重庆市建设工程安全文明施工费计取及使用管理规定(2024版)》</w:t>
      </w:r>
      <w:r>
        <w:rPr>
          <w:rFonts w:hint="eastAsia"/>
          <w:highlight w:val="none"/>
          <w:lang w:eastAsia="zh-CN"/>
        </w:rPr>
        <w:t>（</w:t>
      </w:r>
      <w:r>
        <w:rPr>
          <w:rFonts w:hint="eastAsia"/>
          <w:highlight w:val="none"/>
        </w:rPr>
        <w:t>渝建管</w:t>
      </w:r>
      <w:r>
        <w:rPr>
          <w:rFonts w:hint="eastAsia" w:ascii="仿宋" w:hAnsi="仿宋" w:eastAsia="仿宋" w:cs="仿宋"/>
          <w:highlight w:val="none"/>
        </w:rPr>
        <w:t>〔</w:t>
      </w:r>
      <w:r>
        <w:rPr>
          <w:rFonts w:hint="eastAsia"/>
          <w:highlight w:val="none"/>
        </w:rPr>
        <w:t>2024</w:t>
      </w:r>
      <w:r>
        <w:rPr>
          <w:rFonts w:hint="eastAsia" w:ascii="仿宋" w:hAnsi="仿宋" w:eastAsia="仿宋" w:cs="仿宋"/>
          <w:highlight w:val="none"/>
        </w:rPr>
        <w:t>〕</w:t>
      </w:r>
      <w:r>
        <w:rPr>
          <w:rFonts w:hint="eastAsia"/>
          <w:highlight w:val="none"/>
        </w:rPr>
        <w:t>38号</w:t>
      </w:r>
      <w:r>
        <w:rPr>
          <w:rFonts w:hint="eastAsia"/>
          <w:highlight w:val="none"/>
          <w:lang w:eastAsia="zh-CN"/>
        </w:rPr>
        <w:t>）</w:t>
      </w:r>
      <w:r>
        <w:rPr>
          <w:rFonts w:hint="eastAsia" w:ascii="宋体" w:hAnsi="宋体" w:eastAsia="宋体" w:cs="宋体"/>
          <w:color w:val="000000"/>
          <w:kern w:val="0"/>
          <w:sz w:val="21"/>
          <w:szCs w:val="21"/>
          <w:highlight w:val="none"/>
          <w:lang w:val="en-US" w:eastAsia="zh-CN" w:bidi="ar"/>
        </w:rPr>
        <w:t>规定执行</w:t>
      </w:r>
      <w:r>
        <w:rPr>
          <w:rFonts w:ascii="瀹嬩綋" w:hAnsi="瀹嬩綋" w:eastAsia="瀹嬩綋" w:cs="瀹嬩綋"/>
          <w:color w:val="000000"/>
          <w:kern w:val="0"/>
          <w:sz w:val="21"/>
          <w:szCs w:val="21"/>
          <w:highlight w:val="none"/>
          <w:lang w:val="en-US" w:eastAsia="zh-CN" w:bidi="ar"/>
        </w:rPr>
        <w:t xml:space="preserve">。 </w:t>
      </w:r>
    </w:p>
    <w:p w14:paraId="27D7DE35">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5）规费：按相关规定计取。 </w:t>
      </w:r>
    </w:p>
    <w:p w14:paraId="390364A2">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6）税金：按照《重庆市建设工程费用定额》（CQFYDE-2018）和 《重庆市住房和城乡建设委员会关于适用增值税新税率调整建设工程计价依据的通知》（渝建（2019）143 号）的规定执行。 </w:t>
      </w:r>
    </w:p>
    <w:p w14:paraId="40C87123">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7）变更估价原则：本工程所有变更均由中选人实施，但不增加任何设计费用；在工程施工过程中，因中选人自身原因造成的设计文件有缺陷，中选人应无条件修改设计及施工内容</w:t>
      </w:r>
      <w:r>
        <w:rPr>
          <w:rFonts w:hint="default" w:ascii="宋体" w:hAnsi="宋体" w:eastAsia="宋体" w:cs="宋体"/>
          <w:color w:val="000000"/>
          <w:kern w:val="0"/>
          <w:sz w:val="21"/>
          <w:szCs w:val="21"/>
          <w:highlight w:val="none"/>
          <w:lang w:val="en-US" w:eastAsia="zh-CN" w:bidi="ar"/>
        </w:rPr>
        <w:t>；非</w:t>
      </w:r>
      <w:r>
        <w:rPr>
          <w:rFonts w:hint="eastAsia" w:ascii="宋体" w:hAnsi="宋体" w:eastAsia="宋体" w:cs="宋体"/>
          <w:color w:val="000000"/>
          <w:kern w:val="0"/>
          <w:sz w:val="21"/>
          <w:szCs w:val="21"/>
          <w:highlight w:val="none"/>
          <w:lang w:val="en-US" w:eastAsia="zh-CN" w:bidi="ar"/>
        </w:rPr>
        <w:t>中选人</w:t>
      </w:r>
      <w:r>
        <w:rPr>
          <w:rFonts w:hint="default" w:ascii="宋体" w:hAnsi="宋体" w:eastAsia="宋体" w:cs="宋体"/>
          <w:color w:val="000000"/>
          <w:kern w:val="0"/>
          <w:sz w:val="21"/>
          <w:szCs w:val="21"/>
          <w:highlight w:val="none"/>
          <w:lang w:val="en-US" w:eastAsia="zh-CN" w:bidi="ar"/>
        </w:rPr>
        <w:t>原因引起的变更，其建安工程费采用以下办法结算：由</w:t>
      </w:r>
      <w:r>
        <w:rPr>
          <w:rFonts w:hint="eastAsia" w:ascii="宋体" w:hAnsi="宋体" w:eastAsia="宋体" w:cs="宋体"/>
          <w:color w:val="000000"/>
          <w:kern w:val="0"/>
          <w:sz w:val="21"/>
          <w:szCs w:val="21"/>
          <w:highlight w:val="none"/>
          <w:lang w:val="en-US" w:eastAsia="zh-CN" w:bidi="ar"/>
        </w:rPr>
        <w:t>比选人</w:t>
      </w:r>
      <w:r>
        <w:rPr>
          <w:rFonts w:hint="default" w:ascii="宋体" w:hAnsi="宋体" w:eastAsia="宋体" w:cs="宋体"/>
          <w:color w:val="000000"/>
          <w:kern w:val="0"/>
          <w:sz w:val="21"/>
          <w:szCs w:val="21"/>
          <w:highlight w:val="none"/>
          <w:lang w:val="en-US" w:eastAsia="zh-CN" w:bidi="ar"/>
        </w:rPr>
        <w:t>委托第三方咨询机构审定的工程量清单中有相同清单的，执行该清单价格；有类似清单的，按类似清单进行结算；即无相同清单也无类似清单的，按合同及</w:t>
      </w:r>
      <w:r>
        <w:rPr>
          <w:rFonts w:hint="eastAsia" w:ascii="宋体" w:hAnsi="宋体" w:eastAsia="宋体" w:cs="宋体"/>
          <w:color w:val="000000"/>
          <w:kern w:val="0"/>
          <w:sz w:val="21"/>
          <w:szCs w:val="21"/>
          <w:highlight w:val="none"/>
          <w:lang w:val="en-US" w:eastAsia="zh-CN" w:bidi="ar"/>
        </w:rPr>
        <w:t>比选文件</w:t>
      </w:r>
      <w:r>
        <w:rPr>
          <w:rFonts w:hint="default" w:ascii="宋体" w:hAnsi="宋体" w:eastAsia="宋体" w:cs="宋体"/>
          <w:color w:val="000000"/>
          <w:kern w:val="0"/>
          <w:sz w:val="21"/>
          <w:szCs w:val="21"/>
          <w:highlight w:val="none"/>
          <w:lang w:val="en-US" w:eastAsia="zh-CN" w:bidi="ar"/>
        </w:rPr>
        <w:t>载明的建安工程费报价、计价原则以及</w:t>
      </w:r>
      <w:r>
        <w:rPr>
          <w:rFonts w:hint="eastAsia" w:ascii="宋体" w:hAnsi="宋体" w:eastAsia="宋体" w:cs="宋体"/>
          <w:color w:val="000000"/>
          <w:kern w:val="0"/>
          <w:sz w:val="21"/>
          <w:szCs w:val="21"/>
          <w:highlight w:val="none"/>
          <w:lang w:val="en-US" w:eastAsia="zh-CN" w:bidi="ar"/>
        </w:rPr>
        <w:t>中选</w:t>
      </w:r>
      <w:r>
        <w:rPr>
          <w:rFonts w:hint="default" w:ascii="宋体" w:hAnsi="宋体" w:eastAsia="宋体" w:cs="宋体"/>
          <w:color w:val="000000"/>
          <w:kern w:val="0"/>
          <w:sz w:val="21"/>
          <w:szCs w:val="21"/>
          <w:highlight w:val="none"/>
          <w:lang w:val="en-US" w:eastAsia="zh-CN" w:bidi="ar"/>
        </w:rPr>
        <w:t>下浮比</w:t>
      </w:r>
      <w:r>
        <w:rPr>
          <w:rFonts w:hint="eastAsia" w:ascii="宋体" w:hAnsi="宋体" w:eastAsia="宋体" w:cs="宋体"/>
          <w:color w:val="000000"/>
          <w:kern w:val="0"/>
          <w:sz w:val="21"/>
          <w:szCs w:val="21"/>
          <w:highlight w:val="none"/>
          <w:lang w:val="en-US" w:eastAsia="zh-CN" w:bidi="ar"/>
        </w:rPr>
        <w:t xml:space="preserve">例（中标下浮比例=1-建筑安装工程费固定费率）和范围进行结算。 </w:t>
      </w:r>
    </w:p>
    <w:p w14:paraId="169DB6F8">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8）若根据前述规定计算的工程费结算金额超过结算限额的，则按结算限额进行结算；若未超过，则按前述规定据实结算。</w:t>
      </w:r>
    </w:p>
    <w:p w14:paraId="3A41705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9）结算的其他约定：中选人提交的结算经比选人审核，若审减率在5%(含5%)以内，审计机构收取的基本审核费和审减效益费由比选人承担；若审减率超过5%，则审计机构收取的基本审核费由比选人承担，但审减效益费（按审减金额的5%计取，含审减5%以内的和审减超过5%以外的）均由中选人承担。比选人有权在应付中选人的款项中直接扣除。 </w:t>
      </w:r>
    </w:p>
    <w:p w14:paraId="3771881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10）本工程最终以比选人上级单位委托的审计单位审定金额作为结算价。</w:t>
      </w:r>
      <w:bookmarkStart w:id="0" w:name="_GoBack"/>
      <w:bookmarkEnd w:id="0"/>
    </w:p>
    <w:p w14:paraId="6BF2042D">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（三）其他费用结算原则：按合同相关约定执行 。 </w:t>
      </w:r>
    </w:p>
    <w:p w14:paraId="0A063B4B">
      <w:pPr>
        <w:widowControl/>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3.1.</w:t>
      </w:r>
      <w:r>
        <w:rPr>
          <w:rFonts w:hint="eastAsia" w:ascii="宋体" w:hAnsi="宋体"/>
          <w:color w:val="000000"/>
          <w:szCs w:val="21"/>
          <w:highlight w:val="none"/>
          <w:lang w:val="en-US" w:eastAsia="zh-CN"/>
        </w:rPr>
        <w:t>7</w:t>
      </w:r>
      <w:r>
        <w:rPr>
          <w:rFonts w:hint="eastAsia" w:ascii="宋体" w:hAnsi="宋体"/>
          <w:color w:val="000000"/>
          <w:szCs w:val="21"/>
          <w:highlight w:val="none"/>
        </w:rPr>
        <w:t>按照第</w:t>
      </w:r>
      <w:r>
        <w:rPr>
          <w:rFonts w:hint="eastAsia" w:ascii="宋体" w:hAnsi="宋体"/>
          <w:color w:val="000000"/>
          <w:szCs w:val="21"/>
          <w:highlight w:val="none"/>
          <w:lang w:val="en-US" w:eastAsia="zh-CN"/>
        </w:rPr>
        <w:t>五</w:t>
      </w:r>
      <w:r>
        <w:rPr>
          <w:rFonts w:hint="eastAsia" w:ascii="宋体" w:hAnsi="宋体"/>
          <w:color w:val="000000"/>
          <w:szCs w:val="21"/>
          <w:highlight w:val="none"/>
        </w:rPr>
        <w:t>章格式和要求进行价格填报。</w:t>
      </w:r>
    </w:p>
    <w:p w14:paraId="5A338048">
      <w:pPr>
        <w:widowControl/>
        <w:spacing w:line="360" w:lineRule="auto"/>
        <w:ind w:firstLine="422" w:firstLineChars="200"/>
        <w:outlineLvl w:val="2"/>
        <w:rPr>
          <w:rFonts w:ascii="宋体" w:hAnsi="宋体"/>
          <w:b/>
          <w:bCs/>
          <w:color w:val="000000"/>
          <w:szCs w:val="21"/>
          <w:highlight w:val="none"/>
        </w:rPr>
      </w:pPr>
      <w:r>
        <w:rPr>
          <w:rFonts w:hint="eastAsia" w:ascii="宋体" w:hAnsi="宋体"/>
          <w:b/>
          <w:bCs/>
          <w:color w:val="000000"/>
          <w:szCs w:val="21"/>
          <w:highlight w:val="none"/>
        </w:rPr>
        <w:t>3.2</w:t>
      </w:r>
      <w:r>
        <w:rPr>
          <w:rFonts w:hint="eastAsia" w:ascii="宋体" w:hAnsi="宋体"/>
          <w:b/>
          <w:bCs/>
          <w:color w:val="000000"/>
          <w:szCs w:val="21"/>
          <w:highlight w:val="none"/>
          <w:lang w:val="en-US" w:eastAsia="zh-CN"/>
        </w:rPr>
        <w:t>参选技术</w:t>
      </w:r>
      <w:r>
        <w:rPr>
          <w:rFonts w:hint="eastAsia" w:ascii="宋体" w:hAnsi="宋体"/>
          <w:b/>
          <w:bCs/>
          <w:color w:val="000000"/>
          <w:szCs w:val="21"/>
          <w:highlight w:val="none"/>
        </w:rPr>
        <w:t>方案编制要求</w:t>
      </w:r>
    </w:p>
    <w:p w14:paraId="5F0F685A">
      <w:pPr>
        <w:widowControl/>
        <w:spacing w:line="360" w:lineRule="auto"/>
        <w:ind w:firstLine="420" w:firstLineChars="200"/>
        <w:rPr>
          <w:rFonts w:hint="eastAsia" w:ascii="宋体" w:hAnsi="宋体"/>
          <w:snapToGrid w:val="0"/>
          <w:kern w:val="0"/>
          <w:szCs w:val="21"/>
          <w:highlight w:val="yellow"/>
          <w:u w:val="single"/>
          <w:lang w:val="en-US" w:eastAsia="zh-CN"/>
        </w:rPr>
      </w:pPr>
      <w:r>
        <w:rPr>
          <w:rFonts w:hint="eastAsia" w:ascii="宋体" w:hAnsi="宋体"/>
          <w:color w:val="000000"/>
          <w:szCs w:val="21"/>
          <w:highlight w:val="none"/>
        </w:rPr>
        <w:t>本次比选的参选人按照下列要求编制参选技术方案</w:t>
      </w:r>
      <w:r>
        <w:rPr>
          <w:rFonts w:hint="eastAsia" w:ascii="宋体" w:hAnsi="宋体"/>
          <w:color w:val="000000"/>
          <w:szCs w:val="21"/>
          <w:highlight w:val="none"/>
          <w:u w:val="single"/>
        </w:rPr>
        <w:t>：该项目参选人须</w:t>
      </w:r>
      <w:r>
        <w:rPr>
          <w:rFonts w:hint="eastAsia" w:ascii="宋体" w:hAnsi="宋体"/>
          <w:snapToGrid w:val="0"/>
          <w:color w:val="000000"/>
          <w:kern w:val="0"/>
          <w:szCs w:val="21"/>
          <w:highlight w:val="none"/>
          <w:u w:val="single"/>
        </w:rPr>
        <w:t>对项目现状进行</w:t>
      </w:r>
      <w:r>
        <w:rPr>
          <w:rFonts w:hint="eastAsia" w:ascii="宋体" w:hAnsi="宋体"/>
          <w:snapToGrid w:val="0"/>
          <w:color w:val="000000"/>
          <w:kern w:val="0"/>
          <w:szCs w:val="21"/>
          <w:highlight w:val="none"/>
          <w:u w:val="single"/>
          <w:lang w:val="en-US" w:eastAsia="zh-CN"/>
        </w:rPr>
        <w:t>初步</w:t>
      </w:r>
      <w:r>
        <w:rPr>
          <w:rFonts w:hint="eastAsia" w:ascii="宋体" w:hAnsi="宋体"/>
          <w:snapToGrid w:val="0"/>
          <w:color w:val="000000"/>
          <w:kern w:val="0"/>
          <w:szCs w:val="21"/>
          <w:highlight w:val="none"/>
          <w:u w:val="single"/>
        </w:rPr>
        <w:t>勘测、调查、评估</w:t>
      </w:r>
      <w:r>
        <w:rPr>
          <w:rFonts w:hint="eastAsia" w:ascii="宋体" w:hAnsi="宋体"/>
          <w:snapToGrid w:val="0"/>
          <w:color w:val="000000"/>
          <w:kern w:val="0"/>
          <w:szCs w:val="21"/>
          <w:highlight w:val="none"/>
          <w:u w:val="single"/>
          <w:lang w:eastAsia="zh-CN"/>
        </w:rPr>
        <w:t>（</w:t>
      </w:r>
      <w:r>
        <w:rPr>
          <w:rFonts w:hint="eastAsia" w:ascii="宋体" w:hAnsi="宋体"/>
          <w:snapToGrid w:val="0"/>
          <w:color w:val="000000"/>
          <w:kern w:val="0"/>
          <w:szCs w:val="21"/>
          <w:highlight w:val="none"/>
          <w:u w:val="single"/>
          <w:lang w:val="en-US" w:eastAsia="zh-CN"/>
        </w:rPr>
        <w:t>参选人自行组织踏勘调研</w:t>
      </w:r>
      <w:r>
        <w:rPr>
          <w:rFonts w:hint="eastAsia" w:ascii="宋体" w:hAnsi="宋体"/>
          <w:snapToGrid w:val="0"/>
          <w:color w:val="000000"/>
          <w:kern w:val="0"/>
          <w:szCs w:val="21"/>
          <w:highlight w:val="none"/>
          <w:u w:val="single"/>
          <w:lang w:eastAsia="zh-CN"/>
        </w:rPr>
        <w:t>）</w:t>
      </w:r>
      <w:r>
        <w:rPr>
          <w:rFonts w:hint="eastAsia" w:ascii="宋体" w:hAnsi="宋体"/>
          <w:snapToGrid w:val="0"/>
          <w:color w:val="000000"/>
          <w:kern w:val="0"/>
          <w:szCs w:val="21"/>
          <w:highlight w:val="none"/>
          <w:u w:val="single"/>
        </w:rPr>
        <w:t>，</w:t>
      </w:r>
      <w:r>
        <w:rPr>
          <w:rFonts w:hint="eastAsia" w:ascii="宋体" w:hAnsi="宋体"/>
          <w:snapToGrid w:val="0"/>
          <w:color w:val="000000"/>
          <w:kern w:val="0"/>
          <w:szCs w:val="21"/>
          <w:highlight w:val="none"/>
          <w:u w:val="single"/>
          <w:lang w:val="en-US" w:eastAsia="zh-CN"/>
        </w:rPr>
        <w:t>对本次参选项目所涉及内容有基础了解，综合项目现状编制参选技术方案，内容包括但不限于：一是在设计内容方面参选人需要对以下内容，即：</w:t>
      </w:r>
      <w:r>
        <w:rPr>
          <w:rFonts w:hint="eastAsia" w:ascii="宋体" w:hAnsi="宋体" w:cs="Times New Roman"/>
          <w:snapToGrid w:val="0"/>
          <w:color w:val="000000"/>
          <w:kern w:val="0"/>
          <w:szCs w:val="21"/>
          <w:highlight w:val="none"/>
          <w:u w:val="single"/>
          <w:lang w:val="en-US" w:eastAsia="zh-CN"/>
        </w:rPr>
        <w:t>阿依河景区岩头坝区域艺术装置、展陈提升与沉浸式演艺场景三方面</w:t>
      </w:r>
      <w:r>
        <w:rPr>
          <w:rFonts w:hint="eastAsia" w:ascii="宋体" w:hAnsi="宋体"/>
          <w:snapToGrid w:val="0"/>
          <w:color w:val="000000"/>
          <w:kern w:val="0"/>
          <w:szCs w:val="21"/>
          <w:highlight w:val="none"/>
          <w:u w:val="single"/>
          <w:lang w:val="en-US" w:eastAsia="zh-CN"/>
        </w:rPr>
        <w:t>提出设计布局思路、所达到的效果，以及技术服务工作大纲</w:t>
      </w:r>
      <w:r>
        <w:rPr>
          <w:rFonts w:hint="eastAsia" w:ascii="宋体" w:hAnsi="宋体"/>
          <w:snapToGrid w:val="0"/>
          <w:kern w:val="0"/>
          <w:szCs w:val="21"/>
          <w:highlight w:val="none"/>
          <w:u w:val="single"/>
          <w:lang w:val="en-US" w:eastAsia="zh-CN"/>
        </w:rPr>
        <w:t>。二是在工程施作方面需要提供施工方案。格式自拟。</w:t>
      </w:r>
    </w:p>
    <w:p w14:paraId="68A93FCC">
      <w:pPr>
        <w:keepNext w:val="0"/>
        <w:keepLines w:val="0"/>
        <w:pageBreakBefore w:val="0"/>
        <w:widowControl/>
        <w:kinsoku/>
        <w:wordWrap/>
        <w:overflowPunct/>
        <w:topLinePunct w:val="0"/>
        <w:bidi w:val="0"/>
        <w:spacing w:line="400" w:lineRule="exact"/>
        <w:ind w:firstLine="422" w:firstLineChars="200"/>
        <w:textAlignment w:val="auto"/>
        <w:outlineLvl w:val="2"/>
        <w:rPr>
          <w:rFonts w:ascii="宋体" w:hAnsi="宋体"/>
          <w:b/>
          <w:bCs/>
          <w:color w:val="000000"/>
          <w:szCs w:val="21"/>
          <w:highlight w:val="none"/>
        </w:rPr>
      </w:pPr>
      <w:r>
        <w:rPr>
          <w:rFonts w:hint="eastAsia" w:ascii="宋体" w:hAnsi="宋体"/>
          <w:b/>
          <w:bCs/>
          <w:color w:val="000000"/>
          <w:szCs w:val="21"/>
          <w:highlight w:val="none"/>
        </w:rPr>
        <w:t>3.3资格审查部分编制要求</w:t>
      </w:r>
    </w:p>
    <w:p w14:paraId="474FEA8A">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具体详见第二章、第</w:t>
      </w:r>
      <w:r>
        <w:rPr>
          <w:rFonts w:hint="eastAsia" w:ascii="宋体" w:hAnsi="宋体"/>
          <w:color w:val="000000"/>
          <w:szCs w:val="21"/>
          <w:highlight w:val="none"/>
          <w:lang w:val="en-US" w:eastAsia="zh-CN"/>
        </w:rPr>
        <w:t>五</w:t>
      </w:r>
      <w:r>
        <w:rPr>
          <w:rFonts w:hint="eastAsia" w:ascii="宋体" w:hAnsi="宋体"/>
          <w:color w:val="000000"/>
          <w:szCs w:val="21"/>
          <w:highlight w:val="none"/>
        </w:rPr>
        <w:t>章。</w:t>
      </w:r>
    </w:p>
    <w:p w14:paraId="797CF3CB">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outlineLvl w:val="2"/>
        <w:rPr>
          <w:rFonts w:hint="eastAsia" w:ascii="宋体" w:hAnsi="宋体"/>
          <w:b/>
          <w:bCs/>
          <w:color w:val="000000"/>
          <w:szCs w:val="21"/>
          <w:highlight w:val="none"/>
        </w:rPr>
      </w:pPr>
      <w:r>
        <w:rPr>
          <w:rFonts w:hint="eastAsia" w:ascii="宋体" w:hAnsi="宋体"/>
          <w:b/>
          <w:bCs/>
          <w:color w:val="000000"/>
          <w:szCs w:val="21"/>
          <w:highlight w:val="none"/>
        </w:rPr>
        <w:t>3.4装订、密封要求</w:t>
      </w:r>
    </w:p>
    <w:p w14:paraId="27CE4661">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3.4.1.参选文件的数量</w:t>
      </w:r>
    </w:p>
    <w:p w14:paraId="43AAF567">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（1）技术方案纸质文本一式1份；</w:t>
      </w:r>
    </w:p>
    <w:p w14:paraId="1BA55075">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（2）资格审查文件一式1份；</w:t>
      </w:r>
    </w:p>
    <w:p w14:paraId="36F3B37F">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（3）报价文件一式1份；</w:t>
      </w:r>
    </w:p>
    <w:p w14:paraId="2D886E4C">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（4）电子文件（优盘）；</w:t>
      </w:r>
    </w:p>
    <w:p w14:paraId="7C3DBA50">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其中包含发包人要求的成果要求文件所有内容的优盘1个，PPT文档必须和纸质文本内容完全一致。</w:t>
      </w:r>
    </w:p>
    <w:p w14:paraId="0393E292">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3.4.2参选文件装订要求</w:t>
      </w:r>
    </w:p>
    <w:p w14:paraId="0233C7DF">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3.4.2.1 报价文件装订要求按照第</w:t>
      </w:r>
      <w:r>
        <w:rPr>
          <w:rFonts w:hint="eastAsia" w:ascii="宋体" w:hAnsi="宋体"/>
          <w:color w:val="000000"/>
          <w:szCs w:val="21"/>
          <w:highlight w:val="none"/>
          <w:lang w:val="en-US" w:eastAsia="zh-CN"/>
        </w:rPr>
        <w:t>五</w:t>
      </w:r>
      <w:r>
        <w:rPr>
          <w:rFonts w:hint="eastAsia" w:ascii="宋体" w:hAnsi="宋体"/>
          <w:color w:val="000000"/>
          <w:szCs w:val="21"/>
          <w:highlight w:val="none"/>
        </w:rPr>
        <w:t xml:space="preserve">章规定的格式装订成册 </w:t>
      </w:r>
    </w:p>
    <w:p w14:paraId="639298EC">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ascii="宋体" w:hAnsi="宋体"/>
          <w:color w:val="000000"/>
          <w:szCs w:val="21"/>
          <w:highlight w:val="none"/>
        </w:rPr>
      </w:pPr>
      <w:r>
        <w:rPr>
          <w:rFonts w:hint="eastAsia" w:ascii="宋体" w:hAnsi="宋体"/>
          <w:color w:val="000000"/>
          <w:szCs w:val="21"/>
          <w:highlight w:val="none"/>
        </w:rPr>
        <w:t>3.4.2.2 资格审查文件装订要求按照第</w:t>
      </w:r>
      <w:r>
        <w:rPr>
          <w:rFonts w:hint="eastAsia" w:ascii="宋体" w:hAnsi="宋体"/>
          <w:color w:val="000000"/>
          <w:szCs w:val="21"/>
          <w:highlight w:val="none"/>
          <w:lang w:val="en-US" w:eastAsia="zh-CN"/>
        </w:rPr>
        <w:t>五</w:t>
      </w:r>
      <w:r>
        <w:rPr>
          <w:rFonts w:hint="eastAsia" w:ascii="宋体" w:hAnsi="宋体"/>
          <w:color w:val="000000"/>
          <w:szCs w:val="21"/>
          <w:highlight w:val="none"/>
        </w:rPr>
        <w:t>章规定格式装订成册，并编制目录。</w:t>
      </w:r>
    </w:p>
    <w:p w14:paraId="11A28A00">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000000"/>
          <w:szCs w:val="21"/>
          <w:highlight w:val="none"/>
          <w:u w:val="single"/>
        </w:rPr>
      </w:pPr>
      <w:r>
        <w:rPr>
          <w:rFonts w:hint="eastAsia" w:ascii="宋体" w:hAnsi="宋体"/>
          <w:color w:val="000000"/>
          <w:szCs w:val="21"/>
          <w:highlight w:val="none"/>
        </w:rPr>
        <w:t>3.4.2.3技术方案装订要求</w:t>
      </w:r>
      <w:r>
        <w:rPr>
          <w:rFonts w:hint="eastAsia" w:ascii="宋体" w:hAnsi="宋体"/>
          <w:color w:val="000000"/>
          <w:szCs w:val="21"/>
          <w:highlight w:val="none"/>
          <w:lang w:eastAsia="zh-CN"/>
        </w:rPr>
        <w:t>：</w:t>
      </w:r>
      <w:r>
        <w:rPr>
          <w:rFonts w:hint="eastAsia" w:ascii="宋体" w:hAnsi="宋体"/>
          <w:color w:val="000000"/>
          <w:szCs w:val="21"/>
          <w:highlight w:val="none"/>
          <w:u w:val="single"/>
        </w:rPr>
        <w:t>技术部分采用暗标评审，《技术方案》封面使用</w:t>
      </w:r>
      <w:r>
        <w:rPr>
          <w:rFonts w:ascii="宋体" w:hAnsi="宋体"/>
          <w:color w:val="000000"/>
          <w:szCs w:val="21"/>
          <w:highlight w:val="none"/>
          <w:u w:val="single"/>
        </w:rPr>
        <w:t>A4厚型白纸，用初号仿宋字体居中标明“技术方案”；在</w:t>
      </w:r>
      <w:r>
        <w:rPr>
          <w:rFonts w:hint="eastAsia" w:ascii="宋体" w:hAnsi="宋体"/>
          <w:color w:val="000000"/>
          <w:szCs w:val="21"/>
          <w:highlight w:val="none"/>
          <w:u w:val="single"/>
        </w:rPr>
        <w:t>封面右下角加盖参选单位章后沿密封线折叠成腰约</w:t>
      </w:r>
      <w:r>
        <w:rPr>
          <w:rFonts w:ascii="宋体" w:hAnsi="宋体"/>
          <w:color w:val="000000"/>
          <w:szCs w:val="21"/>
          <w:highlight w:val="none"/>
          <w:u w:val="single"/>
        </w:rPr>
        <w:t>10cm左右的等腰直角三角形密封；</w:t>
      </w:r>
      <w:r>
        <w:rPr>
          <w:rFonts w:hint="eastAsia" w:ascii="宋体" w:hAnsi="宋体"/>
          <w:color w:val="000000"/>
          <w:szCs w:val="21"/>
          <w:highlight w:val="none"/>
          <w:u w:val="single"/>
        </w:rPr>
        <w:t>封面除了“技术方案”四字和右下角密封处印章外不得有其他印记；密封后的封面及整个《技术方案》均不得出现白页、残页和倒页，不得显示与参选人企业有关的任何信息及与本工程无关内容（封面由参选人按比选文件中提供的电子文档格式用</w:t>
      </w:r>
      <w:r>
        <w:rPr>
          <w:rFonts w:ascii="宋体" w:hAnsi="宋体"/>
          <w:color w:val="000000"/>
          <w:szCs w:val="21"/>
          <w:highlight w:val="none"/>
          <w:u w:val="single"/>
        </w:rPr>
        <w:t>A4厚型白纸打印，加盖单位公章后其</w:t>
      </w:r>
      <w:r>
        <w:rPr>
          <w:rFonts w:hint="eastAsia" w:ascii="宋体" w:hAnsi="宋体"/>
          <w:color w:val="000000"/>
          <w:szCs w:val="21"/>
          <w:highlight w:val="none"/>
          <w:u w:val="single"/>
        </w:rPr>
        <w:t>封面的反面以不得显示出单位公章单位名称为准）；《技术方案》文字部分纸张采用</w:t>
      </w:r>
      <w:r>
        <w:rPr>
          <w:rFonts w:ascii="宋体" w:hAnsi="宋体"/>
          <w:color w:val="000000"/>
          <w:szCs w:val="21"/>
          <w:highlight w:val="none"/>
          <w:u w:val="single"/>
        </w:rPr>
        <w:t>A4白纸，四号仿宋字体；图表采用A4或A3白纸，图表内的字体、字号大小不限；文字、图表不得使用彩色和不得编制页码</w:t>
      </w:r>
      <w:r>
        <w:rPr>
          <w:rFonts w:hint="eastAsia" w:ascii="宋体" w:hAnsi="宋体"/>
          <w:color w:val="000000"/>
          <w:szCs w:val="21"/>
          <w:highlight w:val="none"/>
          <w:u w:val="single"/>
        </w:rPr>
        <w:t>（意向图及效果图可使用彩色）。违反上述任何一项，其参选文件《技术方案》部分为零分。</w:t>
      </w:r>
    </w:p>
    <w:p w14:paraId="24537981">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3.4.3密封要求</w:t>
      </w:r>
    </w:p>
    <w:p w14:paraId="48502D00">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（1）技术部分采用暗标评审，技术方案文本单独装订成册并密封，封面按照第六章格式要求编制。</w:t>
      </w:r>
    </w:p>
    <w:p w14:paraId="0C62E0F0">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（2）资格审查文件装订成册并密封（在封袋上注明单位名称和封装内容，加盖公章）。</w:t>
      </w:r>
    </w:p>
    <w:p w14:paraId="49BB6B63">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（3）电子文件优盘与设计方案文本一并封装。</w:t>
      </w:r>
    </w:p>
    <w:p w14:paraId="72E2EA51">
      <w:pPr>
        <w:keepNext w:val="0"/>
        <w:keepLines w:val="0"/>
        <w:pageBreakBefore w:val="0"/>
        <w:widowControl/>
        <w:kinsoku/>
        <w:wordWrap/>
        <w:overflowPunct/>
        <w:topLinePunct w:val="0"/>
        <w:bidi w:val="0"/>
        <w:spacing w:line="400" w:lineRule="exact"/>
        <w:ind w:firstLine="420" w:firstLineChars="200"/>
        <w:textAlignment w:val="auto"/>
        <w:rPr>
          <w:szCs w:val="21"/>
          <w:highlight w:val="none"/>
        </w:rPr>
      </w:pPr>
      <w:r>
        <w:rPr>
          <w:rFonts w:hint="eastAsia" w:ascii="宋体" w:hAnsi="宋体"/>
          <w:color w:val="000000"/>
          <w:szCs w:val="21"/>
          <w:highlight w:val="none"/>
        </w:rPr>
        <w:t>（4）报价文件装订成册并密封（在封袋上注明单位名称和封装内容，加盖公章）。</w:t>
      </w:r>
    </w:p>
    <w:p w14:paraId="7C4EAADF">
      <w:pPr>
        <w:keepNext w:val="0"/>
        <w:keepLines w:val="0"/>
        <w:pageBreakBefore w:val="0"/>
        <w:widowControl/>
        <w:kinsoku/>
        <w:wordWrap/>
        <w:overflowPunct/>
        <w:topLinePunct w:val="0"/>
        <w:bidi w:val="0"/>
        <w:spacing w:line="400" w:lineRule="exact"/>
        <w:ind w:firstLine="420" w:firstLineChars="200"/>
        <w:textAlignment w:val="auto"/>
        <w:rPr>
          <w:highlight w:val="none"/>
        </w:rPr>
      </w:pPr>
      <w:r>
        <w:rPr>
          <w:rFonts w:hint="eastAsia" w:ascii="宋体" w:hAnsi="宋体"/>
          <w:szCs w:val="21"/>
          <w:highlight w:val="none"/>
        </w:rPr>
        <w:t>注：所有参选文件应逐页加盖参选人公章。</w:t>
      </w:r>
    </w:p>
    <w:p w14:paraId="3471D629">
      <w:pPr>
        <w:keepNext w:val="0"/>
        <w:keepLines w:val="0"/>
        <w:pageBreakBefore w:val="0"/>
        <w:kinsoku/>
        <w:wordWrap/>
        <w:overflowPunct/>
        <w:topLinePunct w:val="0"/>
        <w:autoSpaceDE/>
        <w:autoSpaceDN/>
        <w:bidi w:val="0"/>
        <w:adjustRightInd/>
        <w:snapToGrid/>
        <w:spacing w:line="400" w:lineRule="exact"/>
        <w:textAlignment w:val="auto"/>
        <w:outlineLvl w:val="1"/>
        <w:rPr>
          <w:rFonts w:ascii="宋体" w:hAnsi="宋体"/>
          <w:b/>
          <w:bCs/>
          <w:snapToGrid w:val="0"/>
          <w:sz w:val="28"/>
          <w:szCs w:val="28"/>
          <w:highlight w:val="none"/>
        </w:rPr>
      </w:pPr>
      <w:r>
        <w:rPr>
          <w:rFonts w:hint="eastAsia" w:ascii="宋体" w:hAnsi="宋体"/>
          <w:b/>
          <w:bCs/>
          <w:snapToGrid w:val="0"/>
          <w:sz w:val="28"/>
          <w:szCs w:val="28"/>
          <w:highlight w:val="none"/>
        </w:rPr>
        <w:t>4.比选开标程序</w:t>
      </w:r>
    </w:p>
    <w:p w14:paraId="131A882C">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1）参选人在提交参选文件时需提交手持件核验参加比选的法定代表人或委托代理人本人身份。法定代表人参选的，核验法定代表人身份证明文件（按照本项目比选文件第六章格式及要求提供）及法定代表人本人身份证原件，以确认其身份合法有效。委托代理人参选的，核验委托代理人的法定代表人身份证明及授权委托书（按照本项目比选文件第六章格式及要求提供）、委托代理人养老保险证明材料复印件（委托代理人须是参选人公司人员，养老保险证明材料复印件须加盖公章）、委托代理人本人身份证原件，以确认其身份合法有效。若经核实法定代表人或委托代理人提供资料与实际不符的，比选人不接收其参选文件。核验合格的法定代表人或委托代理人可自行选择是否参加比选会，不参加比选会的视为默认比选结果。</w:t>
      </w:r>
    </w:p>
    <w:p w14:paraId="00638F63">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（2）宣布比选纪律。</w:t>
      </w:r>
    </w:p>
    <w:p w14:paraId="50F65F18">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（3）公布在参选截止时间前递交参选文件的参选人名称。</w:t>
      </w:r>
    </w:p>
    <w:p w14:paraId="1B25DC36">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（4）参选文件的密封检查：参选人可对自己和其它的参选文件封装情况进行检查，以确认其参选文件密封完好。</w:t>
      </w:r>
    </w:p>
    <w:p w14:paraId="46731242">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（5）当众开启参选文件。</w:t>
      </w:r>
    </w:p>
    <w:p w14:paraId="1B52FDE9">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（6）公布各参选人报价，各参选人签字确认。</w:t>
      </w:r>
    </w:p>
    <w:p w14:paraId="302BD668">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（7）开标结束。</w:t>
      </w:r>
    </w:p>
    <w:p w14:paraId="3A117BE0">
      <w:pPr>
        <w:keepNext w:val="0"/>
        <w:keepLines w:val="0"/>
        <w:pageBreakBefore w:val="0"/>
        <w:kinsoku/>
        <w:wordWrap/>
        <w:overflowPunct/>
        <w:topLinePunct w:val="0"/>
        <w:autoSpaceDE/>
        <w:autoSpaceDN/>
        <w:bidi w:val="0"/>
        <w:adjustRightInd/>
        <w:snapToGrid/>
        <w:spacing w:line="400" w:lineRule="exact"/>
        <w:textAlignment w:val="auto"/>
        <w:outlineLvl w:val="1"/>
        <w:rPr>
          <w:rFonts w:ascii="宋体" w:hAnsi="宋体"/>
          <w:b/>
          <w:bCs/>
          <w:snapToGrid w:val="0"/>
          <w:sz w:val="28"/>
          <w:szCs w:val="28"/>
          <w:highlight w:val="none"/>
        </w:rPr>
      </w:pPr>
      <w:r>
        <w:rPr>
          <w:rFonts w:hint="eastAsia" w:ascii="宋体" w:hAnsi="宋体"/>
          <w:b/>
          <w:bCs/>
          <w:snapToGrid w:val="0"/>
          <w:sz w:val="28"/>
          <w:szCs w:val="28"/>
          <w:highlight w:val="none"/>
        </w:rPr>
        <w:t>5.特别说明</w:t>
      </w:r>
    </w:p>
    <w:p w14:paraId="2CA4DAAF">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1</w:t>
      </w:r>
      <w:r>
        <w:rPr>
          <w:rFonts w:hint="eastAsia" w:ascii="宋体" w:hAnsi="宋体"/>
          <w:color w:val="000000"/>
          <w:szCs w:val="21"/>
          <w:highlight w:val="none"/>
        </w:rPr>
        <w:t>）比选人及其指定的单位</w:t>
      </w:r>
      <w:r>
        <w:rPr>
          <w:rFonts w:ascii="宋体" w:hAnsi="宋体"/>
          <w:color w:val="000000"/>
          <w:szCs w:val="21"/>
          <w:highlight w:val="none"/>
        </w:rPr>
        <w:t>享有</w:t>
      </w:r>
      <w:r>
        <w:rPr>
          <w:rFonts w:hint="eastAsia" w:ascii="宋体" w:hAnsi="宋体"/>
          <w:color w:val="000000"/>
          <w:szCs w:val="21"/>
          <w:highlight w:val="none"/>
        </w:rPr>
        <w:t>所有参选人</w:t>
      </w:r>
      <w:r>
        <w:rPr>
          <w:rFonts w:ascii="宋体" w:hAnsi="宋体"/>
          <w:color w:val="000000"/>
          <w:szCs w:val="21"/>
          <w:highlight w:val="none"/>
        </w:rPr>
        <w:t>所提交</w:t>
      </w:r>
      <w:r>
        <w:rPr>
          <w:rFonts w:hint="eastAsia" w:ascii="宋体" w:hAnsi="宋体"/>
          <w:color w:val="000000"/>
          <w:szCs w:val="21"/>
          <w:highlight w:val="none"/>
        </w:rPr>
        <w:t>服务</w:t>
      </w:r>
      <w:r>
        <w:rPr>
          <w:rFonts w:ascii="宋体" w:hAnsi="宋体"/>
          <w:color w:val="000000"/>
          <w:szCs w:val="21"/>
          <w:highlight w:val="none"/>
        </w:rPr>
        <w:t>方案成果的知识产权。</w:t>
      </w:r>
      <w:r>
        <w:rPr>
          <w:rFonts w:hint="eastAsia" w:ascii="宋体" w:hAnsi="宋体"/>
          <w:color w:val="000000"/>
          <w:szCs w:val="21"/>
          <w:highlight w:val="none"/>
        </w:rPr>
        <w:t>比选人及其指定的单位</w:t>
      </w:r>
      <w:r>
        <w:rPr>
          <w:rFonts w:ascii="宋体" w:hAnsi="宋体"/>
          <w:color w:val="000000"/>
          <w:szCs w:val="21"/>
          <w:highlight w:val="none"/>
        </w:rPr>
        <w:t>对各</w:t>
      </w:r>
      <w:r>
        <w:rPr>
          <w:rFonts w:hint="eastAsia" w:ascii="宋体" w:hAnsi="宋体"/>
          <w:color w:val="000000"/>
          <w:szCs w:val="21"/>
          <w:highlight w:val="none"/>
        </w:rPr>
        <w:t>参选人</w:t>
      </w:r>
      <w:r>
        <w:rPr>
          <w:rFonts w:ascii="宋体" w:hAnsi="宋体"/>
          <w:color w:val="000000"/>
          <w:szCs w:val="21"/>
          <w:highlight w:val="none"/>
        </w:rPr>
        <w:t>本次所提交的文件拥有使用权和处置权。</w:t>
      </w:r>
    </w:p>
    <w:p w14:paraId="4F153277">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本次</w:t>
      </w:r>
      <w:r>
        <w:rPr>
          <w:rFonts w:hint="eastAsia" w:ascii="宋体" w:hAnsi="宋体"/>
          <w:color w:val="000000"/>
          <w:szCs w:val="21"/>
          <w:highlight w:val="none"/>
        </w:rPr>
        <w:t>比选参选人提交的服务方案</w:t>
      </w:r>
      <w:r>
        <w:rPr>
          <w:rFonts w:ascii="宋体" w:hAnsi="宋体"/>
          <w:color w:val="000000"/>
          <w:szCs w:val="21"/>
          <w:highlight w:val="none"/>
        </w:rPr>
        <w:t>版权归</w:t>
      </w:r>
      <w:r>
        <w:rPr>
          <w:rFonts w:hint="eastAsia" w:ascii="宋体" w:hAnsi="宋体"/>
          <w:color w:val="000000"/>
          <w:szCs w:val="21"/>
          <w:highlight w:val="none"/>
        </w:rPr>
        <w:t>比选人及其指定的单位</w:t>
      </w:r>
      <w:r>
        <w:rPr>
          <w:rFonts w:ascii="宋体" w:hAnsi="宋体"/>
          <w:color w:val="000000"/>
          <w:szCs w:val="21"/>
          <w:highlight w:val="none"/>
        </w:rPr>
        <w:t>所有，</w:t>
      </w:r>
      <w:r>
        <w:rPr>
          <w:rFonts w:hint="eastAsia" w:ascii="宋体" w:hAnsi="宋体"/>
          <w:color w:val="000000"/>
          <w:szCs w:val="21"/>
          <w:highlight w:val="none"/>
        </w:rPr>
        <w:t>比选人及其指定的单位</w:t>
      </w:r>
      <w:r>
        <w:rPr>
          <w:rFonts w:ascii="宋体" w:hAnsi="宋体"/>
          <w:color w:val="000000"/>
          <w:szCs w:val="21"/>
          <w:highlight w:val="none"/>
        </w:rPr>
        <w:t>可进行展览、印刷、出版、使用等，所有</w:t>
      </w:r>
      <w:r>
        <w:rPr>
          <w:rFonts w:hint="eastAsia" w:ascii="宋体" w:hAnsi="宋体"/>
          <w:color w:val="000000"/>
          <w:szCs w:val="21"/>
          <w:highlight w:val="none"/>
        </w:rPr>
        <w:t>参选人</w:t>
      </w:r>
      <w:r>
        <w:rPr>
          <w:rFonts w:ascii="宋体" w:hAnsi="宋体"/>
          <w:color w:val="000000"/>
          <w:szCs w:val="21"/>
          <w:highlight w:val="none"/>
        </w:rPr>
        <w:t>提交的成果均不退还。</w:t>
      </w:r>
    </w:p>
    <w:p w14:paraId="70C3F4F8">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（3）参选人在参选文件编制过程中使用的比选人提供的有关文件及资料不得用于本次比选工作以外。</w:t>
      </w:r>
    </w:p>
    <w:p w14:paraId="7AEFCF59">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（4）比选人有权根据项目实际情况决定最终是否实施该项目或改变实施计划和实施内容，且有权根据情况变化取消或延迟与中选候选人签订合同，比选人不向参选人进行任何承诺。</w:t>
      </w:r>
    </w:p>
    <w:p w14:paraId="66B0B1DC">
      <w:pPr>
        <w:rPr>
          <w:rFonts w:ascii="宋体" w:hAnsi="宋体"/>
          <w:snapToGrid w:val="0"/>
          <w:kern w:val="0"/>
          <w:highlight w:val="none"/>
        </w:rPr>
      </w:pPr>
      <w:r>
        <w:rPr>
          <w:rFonts w:hint="eastAsia" w:ascii="宋体" w:hAnsi="宋体"/>
          <w:snapToGrid w:val="0"/>
          <w:kern w:val="0"/>
          <w:highlight w:val="none"/>
        </w:rPr>
        <w:br w:type="page"/>
      </w:r>
      <w:r>
        <w:rPr>
          <w:rFonts w:hint="eastAsia" w:ascii="宋体" w:hAnsi="宋体"/>
          <w:snapToGrid w:val="0"/>
          <w:kern w:val="0"/>
          <w:highlight w:val="none"/>
        </w:rPr>
        <w:t xml:space="preserve"> </w:t>
      </w:r>
      <w:r>
        <w:rPr>
          <w:rFonts w:hint="eastAsia" w:ascii="宋体" w:hAnsi="宋体"/>
          <w:snapToGrid w:val="0"/>
          <w:kern w:val="0"/>
          <w:highlight w:val="none"/>
          <w:lang w:val="en-US" w:eastAsia="zh-CN"/>
        </w:rPr>
        <w:t xml:space="preserve">        </w:t>
      </w:r>
      <w:r>
        <w:rPr>
          <w:rFonts w:ascii="宋体" w:hAnsi="宋体"/>
          <w:b/>
          <w:snapToGrid w:val="0"/>
          <w:kern w:val="0"/>
          <w:sz w:val="44"/>
          <w:highlight w:val="none"/>
        </w:rPr>
        <w:t>第</w:t>
      </w:r>
      <w:r>
        <w:rPr>
          <w:rFonts w:hint="default" w:ascii="宋体" w:hAnsi="宋体"/>
          <w:b/>
          <w:snapToGrid w:val="0"/>
          <w:kern w:val="0"/>
          <w:sz w:val="44"/>
          <w:highlight w:val="none"/>
        </w:rPr>
        <w:t>三</w:t>
      </w:r>
      <w:r>
        <w:rPr>
          <w:rFonts w:ascii="宋体" w:hAnsi="宋体"/>
          <w:b/>
          <w:snapToGrid w:val="0"/>
          <w:kern w:val="0"/>
          <w:sz w:val="44"/>
          <w:highlight w:val="none"/>
        </w:rPr>
        <w:t xml:space="preserve">章  </w:t>
      </w:r>
      <w:r>
        <w:rPr>
          <w:rFonts w:hint="default" w:ascii="宋体" w:hAnsi="宋体"/>
          <w:b/>
          <w:snapToGrid w:val="0"/>
          <w:kern w:val="0"/>
          <w:sz w:val="44"/>
          <w:highlight w:val="none"/>
        </w:rPr>
        <w:t>评审办法（综合评估法）</w:t>
      </w:r>
    </w:p>
    <w:p w14:paraId="32F3F32D">
      <w:pPr>
        <w:spacing w:line="560" w:lineRule="exact"/>
        <w:rPr>
          <w:rFonts w:ascii="宋体" w:hAnsi="宋体"/>
          <w:b/>
          <w:bCs/>
          <w:snapToGrid w:val="0"/>
          <w:sz w:val="28"/>
          <w:szCs w:val="28"/>
          <w:highlight w:val="none"/>
        </w:rPr>
      </w:pPr>
      <w:r>
        <w:rPr>
          <w:rFonts w:hint="eastAsia" w:ascii="宋体" w:hAnsi="宋体"/>
          <w:b/>
          <w:bCs/>
          <w:snapToGrid w:val="0"/>
          <w:sz w:val="28"/>
          <w:szCs w:val="28"/>
          <w:highlight w:val="none"/>
        </w:rPr>
        <w:t>1.按照下表进行评审打分</w:t>
      </w:r>
    </w:p>
    <w:tbl>
      <w:tblPr>
        <w:tblStyle w:val="14"/>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94"/>
        <w:gridCol w:w="992"/>
        <w:gridCol w:w="1690"/>
        <w:gridCol w:w="5794"/>
      </w:tblGrid>
      <w:tr w14:paraId="0B6876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86" w:type="dxa"/>
            <w:gridSpan w:val="2"/>
            <w:noWrap w:val="0"/>
            <w:vAlign w:val="center"/>
          </w:tcPr>
          <w:p w14:paraId="54D479F3">
            <w:pPr>
              <w:keepNext w:val="0"/>
              <w:keepLines w:val="0"/>
              <w:pageBreakBefore w:val="0"/>
              <w:kinsoku/>
              <w:wordWrap/>
              <w:overflowPunct/>
              <w:topLinePunct w:val="0"/>
              <w:bidi w:val="0"/>
              <w:adjustRightInd/>
              <w:snapToGrid/>
              <w:spacing w:line="400" w:lineRule="exact"/>
              <w:jc w:val="center"/>
              <w:textAlignment w:val="auto"/>
              <w:rPr>
                <w:rFonts w:ascii="宋体" w:hAnsi="宋体"/>
                <w:b/>
                <w:kern w:val="0"/>
                <w:highlight w:val="none"/>
              </w:rPr>
            </w:pPr>
            <w:r>
              <w:rPr>
                <w:rFonts w:ascii="宋体" w:hAnsi="宋体"/>
                <w:b/>
                <w:kern w:val="0"/>
                <w:highlight w:val="none"/>
              </w:rPr>
              <w:t>条款号</w:t>
            </w:r>
          </w:p>
        </w:tc>
        <w:tc>
          <w:tcPr>
            <w:tcW w:w="1690" w:type="dxa"/>
            <w:noWrap w:val="0"/>
            <w:vAlign w:val="center"/>
          </w:tcPr>
          <w:p w14:paraId="094DA3EF">
            <w:pPr>
              <w:keepNext w:val="0"/>
              <w:keepLines w:val="0"/>
              <w:pageBreakBefore w:val="0"/>
              <w:kinsoku/>
              <w:wordWrap/>
              <w:overflowPunct/>
              <w:topLinePunct w:val="0"/>
              <w:bidi w:val="0"/>
              <w:adjustRightInd/>
              <w:snapToGrid/>
              <w:spacing w:line="400" w:lineRule="exact"/>
              <w:jc w:val="center"/>
              <w:textAlignment w:val="auto"/>
              <w:rPr>
                <w:rFonts w:ascii="宋体" w:hAnsi="宋体"/>
                <w:b/>
                <w:kern w:val="0"/>
                <w:highlight w:val="none"/>
              </w:rPr>
            </w:pPr>
            <w:r>
              <w:rPr>
                <w:rFonts w:ascii="宋体" w:hAnsi="宋体"/>
                <w:b/>
                <w:kern w:val="0"/>
                <w:highlight w:val="none"/>
              </w:rPr>
              <w:t>评审因素</w:t>
            </w:r>
          </w:p>
        </w:tc>
        <w:tc>
          <w:tcPr>
            <w:tcW w:w="5794" w:type="dxa"/>
            <w:noWrap w:val="0"/>
            <w:vAlign w:val="center"/>
          </w:tcPr>
          <w:p w14:paraId="2F415E84">
            <w:pPr>
              <w:keepNext w:val="0"/>
              <w:keepLines w:val="0"/>
              <w:pageBreakBefore w:val="0"/>
              <w:kinsoku/>
              <w:wordWrap/>
              <w:overflowPunct/>
              <w:topLinePunct w:val="0"/>
              <w:bidi w:val="0"/>
              <w:adjustRightInd/>
              <w:snapToGrid/>
              <w:spacing w:line="400" w:lineRule="exact"/>
              <w:jc w:val="center"/>
              <w:textAlignment w:val="auto"/>
              <w:rPr>
                <w:rFonts w:ascii="宋体" w:hAnsi="宋体"/>
                <w:b/>
                <w:kern w:val="0"/>
                <w:highlight w:val="none"/>
              </w:rPr>
            </w:pPr>
            <w:r>
              <w:rPr>
                <w:rFonts w:ascii="宋体" w:hAnsi="宋体"/>
                <w:b/>
                <w:kern w:val="0"/>
                <w:highlight w:val="none"/>
              </w:rPr>
              <w:t>评审标准</w:t>
            </w:r>
          </w:p>
        </w:tc>
      </w:tr>
      <w:tr w14:paraId="2F6666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86" w:type="dxa"/>
            <w:gridSpan w:val="2"/>
            <w:noWrap w:val="0"/>
            <w:vAlign w:val="center"/>
          </w:tcPr>
          <w:p w14:paraId="24BFABB9">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hint="eastAsia" w:ascii="宋体" w:hAnsi="宋体"/>
                <w:kern w:val="0"/>
                <w:highlight w:val="none"/>
              </w:rPr>
              <w:t>1</w:t>
            </w:r>
          </w:p>
        </w:tc>
        <w:tc>
          <w:tcPr>
            <w:tcW w:w="1690" w:type="dxa"/>
            <w:noWrap w:val="0"/>
            <w:vAlign w:val="center"/>
          </w:tcPr>
          <w:p w14:paraId="7EF541C1">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kern w:val="0"/>
                <w:highlight w:val="none"/>
              </w:rPr>
              <w:t>评标办法</w:t>
            </w:r>
          </w:p>
        </w:tc>
        <w:tc>
          <w:tcPr>
            <w:tcW w:w="5794" w:type="dxa"/>
            <w:noWrap w:val="0"/>
            <w:vAlign w:val="center"/>
          </w:tcPr>
          <w:p w14:paraId="42A899C6">
            <w:pPr>
              <w:keepNext w:val="0"/>
              <w:keepLines w:val="0"/>
              <w:pageBreakBefore w:val="0"/>
              <w:kinsoku/>
              <w:wordWrap/>
              <w:overflowPunct/>
              <w:topLinePunct w:val="0"/>
              <w:bidi w:val="0"/>
              <w:adjustRightInd/>
              <w:snapToGrid/>
              <w:spacing w:line="400" w:lineRule="exact"/>
              <w:ind w:firstLine="420" w:firstLineChars="200"/>
              <w:jc w:val="left"/>
              <w:textAlignment w:val="auto"/>
              <w:rPr>
                <w:rFonts w:hint="eastAsia" w:ascii="宋体" w:hAnsi="宋体" w:eastAsia="宋体"/>
                <w:kern w:val="0"/>
                <w:highlight w:val="none"/>
                <w:lang w:val="en-US" w:eastAsia="zh-CN"/>
              </w:rPr>
            </w:pPr>
            <w:r>
              <w:rPr>
                <w:rFonts w:ascii="宋体" w:hAnsi="宋体"/>
                <w:kern w:val="0"/>
                <w:szCs w:val="21"/>
                <w:highlight w:val="none"/>
              </w:rPr>
              <w:t>本次评标采用综合评估法</w:t>
            </w:r>
            <w:r>
              <w:rPr>
                <w:rFonts w:ascii="宋体" w:hAnsi="宋体"/>
                <w:spacing w:val="-47"/>
                <w:kern w:val="0"/>
                <w:szCs w:val="21"/>
                <w:highlight w:val="none"/>
              </w:rPr>
              <w:t>。</w:t>
            </w:r>
            <w:r>
              <w:rPr>
                <w:rFonts w:hint="eastAsia" w:ascii="宋体" w:hAnsi="宋体"/>
                <w:kern w:val="0"/>
                <w:szCs w:val="21"/>
                <w:highlight w:val="none"/>
              </w:rPr>
              <w:t>公开比选委员会</w:t>
            </w:r>
            <w:r>
              <w:rPr>
                <w:rFonts w:ascii="宋体" w:hAnsi="宋体"/>
                <w:kern w:val="0"/>
                <w:szCs w:val="21"/>
                <w:highlight w:val="none"/>
              </w:rPr>
              <w:t>按照本章</w:t>
            </w:r>
            <w:r>
              <w:rPr>
                <w:rFonts w:ascii="宋体" w:hAnsi="宋体"/>
                <w:spacing w:val="-1"/>
                <w:kern w:val="0"/>
                <w:szCs w:val="21"/>
                <w:highlight w:val="none"/>
              </w:rPr>
              <w:t>规</w:t>
            </w:r>
            <w:r>
              <w:rPr>
                <w:rFonts w:ascii="宋体" w:hAnsi="宋体"/>
                <w:kern w:val="0"/>
                <w:szCs w:val="21"/>
                <w:highlight w:val="none"/>
              </w:rPr>
              <w:t>定的评分标准进行打分，按得分由高到低顺序推荐中选候选人</w:t>
            </w:r>
            <w:r>
              <w:rPr>
                <w:rFonts w:ascii="宋体" w:hAnsi="宋体"/>
                <w:spacing w:val="-31"/>
                <w:kern w:val="0"/>
                <w:szCs w:val="21"/>
                <w:highlight w:val="none"/>
              </w:rPr>
              <w:t>。</w:t>
            </w:r>
            <w:r>
              <w:rPr>
                <w:rFonts w:ascii="宋体" w:hAnsi="宋体"/>
                <w:kern w:val="0"/>
                <w:szCs w:val="21"/>
                <w:highlight w:val="none"/>
              </w:rPr>
              <w:t>综合评分相等时</w:t>
            </w:r>
            <w:r>
              <w:rPr>
                <w:rFonts w:ascii="宋体" w:hAnsi="宋体"/>
                <w:spacing w:val="-31"/>
                <w:kern w:val="0"/>
                <w:szCs w:val="21"/>
                <w:highlight w:val="none"/>
              </w:rPr>
              <w:t>，</w:t>
            </w:r>
            <w:r>
              <w:rPr>
                <w:rFonts w:ascii="宋体" w:hAnsi="宋体"/>
                <w:kern w:val="0"/>
                <w:szCs w:val="21"/>
                <w:highlight w:val="none"/>
              </w:rPr>
              <w:t>以参选报价低的优先；参选报价相等的，</w:t>
            </w:r>
            <w:r>
              <w:rPr>
                <w:rFonts w:hint="eastAsia" w:ascii="宋体" w:hAnsi="宋体"/>
                <w:kern w:val="0"/>
                <w:szCs w:val="21"/>
                <w:highlight w:val="none"/>
              </w:rPr>
              <w:t>以技术部分得分高的优先；技术部分得分相等的，由公开比选委员会抽签确定。</w:t>
            </w:r>
          </w:p>
        </w:tc>
      </w:tr>
      <w:tr w14:paraId="21AC11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994" w:type="dxa"/>
            <w:noWrap w:val="0"/>
            <w:vAlign w:val="center"/>
          </w:tcPr>
          <w:p w14:paraId="69FE4469">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kern w:val="0"/>
                <w:highlight w:val="none"/>
              </w:rPr>
              <w:t>2.1.</w:t>
            </w:r>
            <w:r>
              <w:rPr>
                <w:rFonts w:hint="eastAsia" w:ascii="宋体" w:hAnsi="宋体"/>
                <w:kern w:val="0"/>
                <w:highlight w:val="none"/>
              </w:rPr>
              <w:t>1</w:t>
            </w:r>
          </w:p>
        </w:tc>
        <w:tc>
          <w:tcPr>
            <w:tcW w:w="992" w:type="dxa"/>
            <w:noWrap w:val="0"/>
            <w:vAlign w:val="center"/>
          </w:tcPr>
          <w:p w14:paraId="4BD7559A">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kern w:val="0"/>
                <w:highlight w:val="none"/>
              </w:rPr>
              <w:t>资格评审标准</w:t>
            </w:r>
          </w:p>
        </w:tc>
        <w:tc>
          <w:tcPr>
            <w:tcW w:w="1690" w:type="dxa"/>
            <w:tcBorders>
              <w:bottom w:val="single" w:color="auto" w:sz="4" w:space="0"/>
            </w:tcBorders>
            <w:noWrap w:val="0"/>
            <w:vAlign w:val="center"/>
          </w:tcPr>
          <w:p w14:paraId="52310A17">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hint="eastAsia" w:ascii="宋体" w:hAnsi="宋体"/>
                <w:kern w:val="0"/>
                <w:highlight w:val="none"/>
              </w:rPr>
              <w:t>参选人资质条件、能力和信誉</w:t>
            </w:r>
          </w:p>
        </w:tc>
        <w:tc>
          <w:tcPr>
            <w:tcW w:w="5794" w:type="dxa"/>
            <w:noWrap w:val="0"/>
            <w:vAlign w:val="center"/>
          </w:tcPr>
          <w:p w14:paraId="1CE51883">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符合</w:t>
            </w:r>
            <w:r>
              <w:rPr>
                <w:rFonts w:hint="eastAsia" w:ascii="宋体" w:hAnsi="宋体"/>
                <w:kern w:val="0"/>
                <w:highlight w:val="none"/>
              </w:rPr>
              <w:t>第一章、</w:t>
            </w:r>
            <w:r>
              <w:rPr>
                <w:rFonts w:ascii="宋体" w:hAnsi="宋体"/>
                <w:kern w:val="0"/>
                <w:highlight w:val="none"/>
              </w:rPr>
              <w:t>第二章规定。</w:t>
            </w:r>
          </w:p>
        </w:tc>
      </w:tr>
      <w:tr w14:paraId="3F33F2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restart"/>
            <w:noWrap w:val="0"/>
            <w:vAlign w:val="center"/>
          </w:tcPr>
          <w:p w14:paraId="29951244">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kern w:val="0"/>
                <w:highlight w:val="none"/>
              </w:rPr>
              <w:t>2.1.</w:t>
            </w:r>
            <w:r>
              <w:rPr>
                <w:rFonts w:hint="eastAsia" w:ascii="宋体" w:hAnsi="宋体"/>
                <w:kern w:val="0"/>
                <w:highlight w:val="none"/>
              </w:rPr>
              <w:t>2</w:t>
            </w:r>
          </w:p>
        </w:tc>
        <w:tc>
          <w:tcPr>
            <w:tcW w:w="992" w:type="dxa"/>
            <w:vMerge w:val="restart"/>
            <w:noWrap w:val="0"/>
            <w:vAlign w:val="center"/>
          </w:tcPr>
          <w:p w14:paraId="7C0461B9">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kern w:val="0"/>
                <w:highlight w:val="none"/>
              </w:rPr>
              <w:t>形式评审标准</w:t>
            </w:r>
          </w:p>
        </w:tc>
        <w:tc>
          <w:tcPr>
            <w:tcW w:w="1690" w:type="dxa"/>
            <w:tcBorders>
              <w:top w:val="single" w:color="auto" w:sz="4" w:space="0"/>
              <w:bottom w:val="single" w:color="auto" w:sz="4" w:space="0"/>
            </w:tcBorders>
            <w:noWrap w:val="0"/>
            <w:vAlign w:val="center"/>
          </w:tcPr>
          <w:p w14:paraId="30FD01CC">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参选人名称</w:t>
            </w:r>
          </w:p>
        </w:tc>
        <w:tc>
          <w:tcPr>
            <w:tcW w:w="5794" w:type="dxa"/>
            <w:noWrap w:val="0"/>
            <w:vAlign w:val="center"/>
          </w:tcPr>
          <w:p w14:paraId="59D0F17C">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与营业执照一致</w:t>
            </w:r>
            <w:r>
              <w:rPr>
                <w:rFonts w:hint="eastAsia" w:ascii="宋体" w:hAnsi="宋体"/>
                <w:kern w:val="0"/>
                <w:highlight w:val="none"/>
              </w:rPr>
              <w:t>，依法变更名称的应提交相应证明材料</w:t>
            </w:r>
            <w:r>
              <w:rPr>
                <w:rFonts w:ascii="宋体" w:hAnsi="宋体"/>
                <w:kern w:val="0"/>
                <w:highlight w:val="none"/>
              </w:rPr>
              <w:t>。</w:t>
            </w:r>
          </w:p>
        </w:tc>
      </w:tr>
      <w:tr w14:paraId="4B0DAF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6F446808">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992" w:type="dxa"/>
            <w:vMerge w:val="continue"/>
            <w:noWrap w:val="0"/>
            <w:vAlign w:val="top"/>
          </w:tcPr>
          <w:p w14:paraId="0255DE43">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1690" w:type="dxa"/>
            <w:tcBorders>
              <w:top w:val="single" w:color="auto" w:sz="4" w:space="0"/>
              <w:bottom w:val="single" w:color="auto" w:sz="4" w:space="0"/>
            </w:tcBorders>
            <w:noWrap w:val="0"/>
            <w:vAlign w:val="center"/>
          </w:tcPr>
          <w:p w14:paraId="4B5BBA1F">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参选函签字盖章</w:t>
            </w:r>
          </w:p>
        </w:tc>
        <w:tc>
          <w:tcPr>
            <w:tcW w:w="5794" w:type="dxa"/>
            <w:noWrap w:val="0"/>
            <w:vAlign w:val="center"/>
          </w:tcPr>
          <w:p w14:paraId="7B8DEE93">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参选函格式规定签字</w:t>
            </w:r>
            <w:r>
              <w:rPr>
                <w:rFonts w:hint="eastAsia" w:ascii="宋体" w:hAnsi="宋体"/>
                <w:kern w:val="0"/>
                <w:highlight w:val="none"/>
              </w:rPr>
              <w:t>、</w:t>
            </w:r>
            <w:r>
              <w:rPr>
                <w:rFonts w:ascii="宋体" w:hAnsi="宋体"/>
                <w:kern w:val="0"/>
                <w:highlight w:val="none"/>
              </w:rPr>
              <w:t>盖章的位置有法定代表人或其委托代理人签字（或盖章）、加盖单位公章。</w:t>
            </w:r>
          </w:p>
        </w:tc>
      </w:tr>
      <w:tr w14:paraId="20F46C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17CAC532">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992" w:type="dxa"/>
            <w:vMerge w:val="continue"/>
            <w:noWrap w:val="0"/>
            <w:vAlign w:val="top"/>
          </w:tcPr>
          <w:p w14:paraId="42551814">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1690" w:type="dxa"/>
            <w:tcBorders>
              <w:top w:val="single" w:color="auto" w:sz="4" w:space="0"/>
              <w:bottom w:val="single" w:color="auto" w:sz="4" w:space="0"/>
            </w:tcBorders>
            <w:noWrap w:val="0"/>
            <w:vAlign w:val="center"/>
          </w:tcPr>
          <w:p w14:paraId="742E3A09">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参选文件格式</w:t>
            </w:r>
          </w:p>
        </w:tc>
        <w:tc>
          <w:tcPr>
            <w:tcW w:w="5794" w:type="dxa"/>
            <w:noWrap w:val="0"/>
            <w:vAlign w:val="center"/>
          </w:tcPr>
          <w:p w14:paraId="48E410C9">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符合</w:t>
            </w:r>
            <w:r>
              <w:rPr>
                <w:rFonts w:hint="eastAsia" w:ascii="宋体" w:hAnsi="宋体"/>
                <w:kern w:val="0"/>
                <w:highlight w:val="none"/>
              </w:rPr>
              <w:t>第二</w:t>
            </w:r>
            <w:r>
              <w:rPr>
                <w:rFonts w:ascii="宋体" w:hAnsi="宋体"/>
                <w:kern w:val="0"/>
                <w:highlight w:val="none"/>
              </w:rPr>
              <w:t>章“</w:t>
            </w:r>
            <w:r>
              <w:rPr>
                <w:rFonts w:hint="eastAsia" w:ascii="宋体" w:hAnsi="宋体"/>
                <w:kern w:val="0"/>
                <w:highlight w:val="none"/>
              </w:rPr>
              <w:t>参选人须知</w:t>
            </w:r>
            <w:r>
              <w:rPr>
                <w:rFonts w:ascii="宋体" w:hAnsi="宋体"/>
                <w:kern w:val="0"/>
                <w:highlight w:val="none"/>
              </w:rPr>
              <w:t>”的要求。</w:t>
            </w:r>
          </w:p>
        </w:tc>
      </w:tr>
      <w:tr w14:paraId="7A1CA1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0AC3749C">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992" w:type="dxa"/>
            <w:vMerge w:val="continue"/>
            <w:noWrap w:val="0"/>
            <w:vAlign w:val="top"/>
          </w:tcPr>
          <w:p w14:paraId="3E6A7C01">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1690" w:type="dxa"/>
            <w:tcBorders>
              <w:top w:val="single" w:color="auto" w:sz="4" w:space="0"/>
              <w:bottom w:val="single" w:color="auto" w:sz="4" w:space="0"/>
            </w:tcBorders>
            <w:noWrap w:val="0"/>
            <w:vAlign w:val="center"/>
          </w:tcPr>
          <w:p w14:paraId="7FE1E87E">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hint="eastAsia" w:ascii="宋体" w:hAnsi="宋体"/>
                <w:kern w:val="0"/>
                <w:highlight w:val="none"/>
              </w:rPr>
              <w:t>参选文件份数</w:t>
            </w:r>
          </w:p>
        </w:tc>
        <w:tc>
          <w:tcPr>
            <w:tcW w:w="5794" w:type="dxa"/>
            <w:noWrap w:val="0"/>
            <w:vAlign w:val="center"/>
          </w:tcPr>
          <w:p w14:paraId="7D71CA70">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kern w:val="0"/>
                <w:highlight w:val="none"/>
              </w:rPr>
              <w:t>符合第二章“参选人须知”规定。</w:t>
            </w:r>
          </w:p>
        </w:tc>
      </w:tr>
      <w:tr w14:paraId="62A08F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2BFD2B9D">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992" w:type="dxa"/>
            <w:vMerge w:val="continue"/>
            <w:noWrap w:val="0"/>
            <w:vAlign w:val="top"/>
          </w:tcPr>
          <w:p w14:paraId="3B44738B">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1690" w:type="dxa"/>
            <w:tcBorders>
              <w:top w:val="single" w:color="auto" w:sz="4" w:space="0"/>
              <w:bottom w:val="single" w:color="auto" w:sz="4" w:space="0"/>
            </w:tcBorders>
            <w:noWrap w:val="0"/>
            <w:vAlign w:val="center"/>
          </w:tcPr>
          <w:p w14:paraId="090B5D86">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报价唯一</w:t>
            </w:r>
          </w:p>
        </w:tc>
        <w:tc>
          <w:tcPr>
            <w:tcW w:w="5794" w:type="dxa"/>
            <w:noWrap w:val="0"/>
            <w:vAlign w:val="center"/>
          </w:tcPr>
          <w:p w14:paraId="243C0AE6">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kern w:val="0"/>
                <w:highlight w:val="none"/>
                <w:lang w:val="en-US" w:eastAsia="zh-CN"/>
              </w:rPr>
              <w:t>设计费报价和工程费报价均</w:t>
            </w:r>
            <w:r>
              <w:rPr>
                <w:rFonts w:ascii="宋体" w:hAnsi="宋体"/>
                <w:kern w:val="0"/>
                <w:highlight w:val="none"/>
              </w:rPr>
              <w:t>只能有一个有效报价，在比选文件没有规定的情况下，不得提交选择性报价。</w:t>
            </w:r>
          </w:p>
        </w:tc>
      </w:tr>
      <w:tr w14:paraId="572667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7CA9E22E">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992" w:type="dxa"/>
            <w:vMerge w:val="continue"/>
            <w:noWrap w:val="0"/>
            <w:vAlign w:val="top"/>
          </w:tcPr>
          <w:p w14:paraId="24E46CE6">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1690" w:type="dxa"/>
            <w:tcBorders>
              <w:top w:val="single" w:color="auto" w:sz="4" w:space="0"/>
              <w:bottom w:val="single" w:color="auto" w:sz="4" w:space="0"/>
            </w:tcBorders>
            <w:noWrap w:val="0"/>
            <w:vAlign w:val="center"/>
          </w:tcPr>
          <w:p w14:paraId="5E41ADE0">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参选文件的签署</w:t>
            </w:r>
          </w:p>
        </w:tc>
        <w:tc>
          <w:tcPr>
            <w:tcW w:w="5794" w:type="dxa"/>
            <w:noWrap w:val="0"/>
            <w:vAlign w:val="center"/>
          </w:tcPr>
          <w:p w14:paraId="32EF976D">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kern w:val="0"/>
                <w:highlight w:val="none"/>
              </w:rPr>
              <w:t>第</w:t>
            </w:r>
            <w:r>
              <w:rPr>
                <w:rFonts w:hint="eastAsia" w:ascii="宋体" w:hAnsi="宋体"/>
                <w:kern w:val="0"/>
                <w:highlight w:val="none"/>
                <w:lang w:val="en-US" w:eastAsia="zh-CN"/>
              </w:rPr>
              <w:t>五</w:t>
            </w:r>
            <w:r>
              <w:rPr>
                <w:rFonts w:hint="eastAsia" w:ascii="宋体" w:hAnsi="宋体"/>
                <w:kern w:val="0"/>
                <w:highlight w:val="none"/>
              </w:rPr>
              <w:t xml:space="preserve">章 </w:t>
            </w:r>
            <w:r>
              <w:rPr>
                <w:rFonts w:ascii="宋体" w:hAnsi="宋体"/>
                <w:kern w:val="0"/>
                <w:highlight w:val="none"/>
              </w:rPr>
              <w:t>参选文件</w:t>
            </w:r>
            <w:r>
              <w:rPr>
                <w:rFonts w:hint="eastAsia" w:ascii="宋体" w:hAnsi="宋体"/>
                <w:kern w:val="0"/>
                <w:highlight w:val="none"/>
              </w:rPr>
              <w:t>格式要求</w:t>
            </w:r>
            <w:r>
              <w:rPr>
                <w:rFonts w:ascii="宋体" w:hAnsi="宋体"/>
                <w:kern w:val="0"/>
                <w:highlight w:val="none"/>
              </w:rPr>
              <w:t>法定代表人或其委托代理人签字（或盖章）</w:t>
            </w:r>
            <w:r>
              <w:rPr>
                <w:rFonts w:hint="eastAsia" w:ascii="宋体" w:hAnsi="宋体"/>
                <w:kern w:val="0"/>
                <w:highlight w:val="none"/>
              </w:rPr>
              <w:t>的须</w:t>
            </w:r>
            <w:r>
              <w:rPr>
                <w:rFonts w:ascii="宋体" w:hAnsi="宋体"/>
                <w:kern w:val="0"/>
                <w:highlight w:val="none"/>
              </w:rPr>
              <w:t>齐全。</w:t>
            </w:r>
          </w:p>
        </w:tc>
      </w:tr>
      <w:tr w14:paraId="457891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994" w:type="dxa"/>
            <w:vMerge w:val="restart"/>
            <w:noWrap w:val="0"/>
            <w:vAlign w:val="center"/>
          </w:tcPr>
          <w:p w14:paraId="2A1D5C11">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kern w:val="0"/>
                <w:highlight w:val="none"/>
              </w:rPr>
              <w:t>2.1.3</w:t>
            </w:r>
          </w:p>
        </w:tc>
        <w:tc>
          <w:tcPr>
            <w:tcW w:w="992" w:type="dxa"/>
            <w:vMerge w:val="restart"/>
            <w:noWrap w:val="0"/>
            <w:vAlign w:val="center"/>
          </w:tcPr>
          <w:p w14:paraId="065713E2">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kern w:val="0"/>
                <w:highlight w:val="none"/>
              </w:rPr>
              <w:t>响应性评审标准</w:t>
            </w:r>
          </w:p>
        </w:tc>
        <w:tc>
          <w:tcPr>
            <w:tcW w:w="1690" w:type="dxa"/>
            <w:noWrap w:val="0"/>
            <w:vAlign w:val="center"/>
          </w:tcPr>
          <w:p w14:paraId="38C6FB7F">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参选报价</w:t>
            </w:r>
          </w:p>
        </w:tc>
        <w:tc>
          <w:tcPr>
            <w:tcW w:w="5794" w:type="dxa"/>
            <w:noWrap w:val="0"/>
            <w:vAlign w:val="center"/>
          </w:tcPr>
          <w:p w14:paraId="3939E03F">
            <w:pPr>
              <w:keepNext w:val="0"/>
              <w:keepLines w:val="0"/>
              <w:pageBreakBefore w:val="0"/>
              <w:widowControl/>
              <w:kinsoku/>
              <w:wordWrap/>
              <w:overflowPunct/>
              <w:topLinePunct w:val="0"/>
              <w:bidi w:val="0"/>
              <w:adjustRightInd/>
              <w:snapToGrid/>
              <w:spacing w:line="400" w:lineRule="exact"/>
              <w:ind w:firstLine="420" w:firstLineChars="200"/>
              <w:textAlignment w:val="auto"/>
              <w:outlineLvl w:val="2"/>
              <w:rPr>
                <w:rFonts w:ascii="宋体" w:hAnsi="宋体"/>
                <w:kern w:val="0"/>
                <w:highlight w:val="none"/>
              </w:rPr>
            </w:pPr>
            <w:r>
              <w:rPr>
                <w:rFonts w:hint="eastAsia" w:ascii="宋体" w:hAnsi="宋体"/>
                <w:kern w:val="0"/>
                <w:highlight w:val="none"/>
                <w:lang w:val="en-US" w:eastAsia="zh-CN"/>
              </w:rPr>
              <w:t>设计费和工程费</w:t>
            </w:r>
            <w:r>
              <w:rPr>
                <w:rFonts w:ascii="宋体" w:hAnsi="宋体"/>
                <w:kern w:val="0"/>
                <w:highlight w:val="none"/>
              </w:rPr>
              <w:t>参选报价均不得高于比选人公布的参选报价最高限价</w:t>
            </w:r>
            <w:r>
              <w:rPr>
                <w:rFonts w:hint="eastAsia" w:ascii="宋体" w:hAnsi="宋体"/>
                <w:kern w:val="0"/>
                <w:highlight w:val="none"/>
                <w:lang w:eastAsia="zh-CN"/>
              </w:rPr>
              <w:t>，</w:t>
            </w:r>
            <w:r>
              <w:rPr>
                <w:rFonts w:hint="eastAsia" w:ascii="宋体" w:hAnsi="宋体"/>
                <w:kern w:val="0"/>
                <w:highlight w:val="none"/>
                <w:lang w:val="en-US" w:eastAsia="zh-CN"/>
              </w:rPr>
              <w:t>报价应符合第二章第3.1款“</w:t>
            </w:r>
            <w:r>
              <w:rPr>
                <w:rFonts w:hint="eastAsia" w:ascii="宋体" w:hAnsi="宋体"/>
                <w:b w:val="0"/>
                <w:bCs w:val="0"/>
                <w:color w:val="auto"/>
                <w:kern w:val="0"/>
                <w:szCs w:val="24"/>
                <w:highlight w:val="none"/>
              </w:rPr>
              <w:t>报价文件编制要求</w:t>
            </w:r>
            <w:r>
              <w:rPr>
                <w:rFonts w:hint="eastAsia" w:ascii="宋体" w:hAnsi="宋体"/>
                <w:kern w:val="0"/>
                <w:highlight w:val="none"/>
                <w:lang w:val="en-US" w:eastAsia="zh-CN"/>
              </w:rPr>
              <w:t>”</w:t>
            </w:r>
            <w:r>
              <w:rPr>
                <w:rFonts w:hint="eastAsia" w:ascii="宋体" w:hAnsi="宋体"/>
                <w:b w:val="0"/>
                <w:bCs w:val="0"/>
                <w:kern w:val="0"/>
                <w:szCs w:val="24"/>
                <w:highlight w:val="none"/>
                <w:lang w:eastAsia="zh-CN"/>
              </w:rPr>
              <w:t>。</w:t>
            </w:r>
          </w:p>
        </w:tc>
      </w:tr>
      <w:tr w14:paraId="1273CD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center"/>
          </w:tcPr>
          <w:p w14:paraId="613472ED">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p>
        </w:tc>
        <w:tc>
          <w:tcPr>
            <w:tcW w:w="992" w:type="dxa"/>
            <w:vMerge w:val="continue"/>
            <w:noWrap w:val="0"/>
            <w:textDirection w:val="tbRlV"/>
            <w:vAlign w:val="center"/>
          </w:tcPr>
          <w:p w14:paraId="0C5C740B">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p>
        </w:tc>
        <w:tc>
          <w:tcPr>
            <w:tcW w:w="1690" w:type="dxa"/>
            <w:noWrap w:val="0"/>
            <w:vAlign w:val="center"/>
          </w:tcPr>
          <w:p w14:paraId="2F433216">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参选内容</w:t>
            </w:r>
          </w:p>
        </w:tc>
        <w:tc>
          <w:tcPr>
            <w:tcW w:w="5794" w:type="dxa"/>
            <w:noWrap w:val="0"/>
            <w:vAlign w:val="center"/>
          </w:tcPr>
          <w:p w14:paraId="2434F2FA">
            <w:pPr>
              <w:keepNext w:val="0"/>
              <w:keepLines w:val="0"/>
              <w:pageBreakBefore w:val="0"/>
              <w:kinsoku/>
              <w:wordWrap/>
              <w:overflowPunct/>
              <w:topLinePunct w:val="0"/>
              <w:bidi w:val="0"/>
              <w:adjustRightInd/>
              <w:snapToGrid/>
              <w:spacing w:line="400" w:lineRule="exact"/>
              <w:ind w:firstLine="420" w:firstLineChars="200"/>
              <w:jc w:val="left"/>
              <w:textAlignment w:val="auto"/>
              <w:rPr>
                <w:rFonts w:ascii="宋体" w:hAnsi="宋体"/>
                <w:kern w:val="0"/>
                <w:highlight w:val="none"/>
              </w:rPr>
            </w:pPr>
            <w:r>
              <w:rPr>
                <w:rFonts w:ascii="宋体" w:hAnsi="宋体"/>
                <w:kern w:val="0"/>
                <w:highlight w:val="none"/>
              </w:rPr>
              <w:t>符合</w:t>
            </w:r>
            <w:r>
              <w:rPr>
                <w:rFonts w:hint="eastAsia" w:ascii="宋体" w:hAnsi="宋体"/>
                <w:kern w:val="0"/>
                <w:highlight w:val="none"/>
              </w:rPr>
              <w:t>第一章、</w:t>
            </w:r>
            <w:r>
              <w:rPr>
                <w:rFonts w:ascii="宋体" w:hAnsi="宋体"/>
                <w:kern w:val="0"/>
                <w:highlight w:val="none"/>
              </w:rPr>
              <w:t>第二章</w:t>
            </w:r>
            <w:r>
              <w:rPr>
                <w:rFonts w:hint="eastAsia" w:ascii="宋体" w:hAnsi="宋体"/>
                <w:kern w:val="0"/>
                <w:highlight w:val="none"/>
              </w:rPr>
              <w:t>相关</w:t>
            </w:r>
            <w:r>
              <w:rPr>
                <w:rFonts w:ascii="宋体" w:hAnsi="宋体"/>
                <w:kern w:val="0"/>
                <w:highlight w:val="none"/>
              </w:rPr>
              <w:t>规定</w:t>
            </w:r>
          </w:p>
        </w:tc>
      </w:tr>
      <w:tr w14:paraId="7AFA98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4A10A438">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p>
        </w:tc>
        <w:tc>
          <w:tcPr>
            <w:tcW w:w="992" w:type="dxa"/>
            <w:vMerge w:val="continue"/>
            <w:noWrap w:val="0"/>
            <w:vAlign w:val="top"/>
          </w:tcPr>
          <w:p w14:paraId="39856EDE">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p>
        </w:tc>
        <w:tc>
          <w:tcPr>
            <w:tcW w:w="1690" w:type="dxa"/>
            <w:noWrap w:val="0"/>
            <w:vAlign w:val="center"/>
          </w:tcPr>
          <w:p w14:paraId="76449360">
            <w:pPr>
              <w:keepNext w:val="0"/>
              <w:keepLines w:val="0"/>
              <w:pageBreakBefore w:val="0"/>
              <w:kinsoku/>
              <w:wordWrap/>
              <w:overflowPunct/>
              <w:topLinePunct w:val="0"/>
              <w:bidi w:val="0"/>
              <w:adjustRightInd/>
              <w:snapToGrid/>
              <w:spacing w:line="400" w:lineRule="exact"/>
              <w:textAlignment w:val="auto"/>
              <w:rPr>
                <w:rFonts w:ascii="宋体" w:hAnsi="宋体"/>
                <w:kern w:val="0"/>
                <w:highlight w:val="none"/>
              </w:rPr>
            </w:pPr>
            <w:r>
              <w:rPr>
                <w:rFonts w:hint="eastAsia" w:ascii="宋体" w:hAnsi="宋体"/>
                <w:kern w:val="0"/>
                <w:highlight w:val="none"/>
              </w:rPr>
              <w:t>工期</w:t>
            </w:r>
          </w:p>
        </w:tc>
        <w:tc>
          <w:tcPr>
            <w:tcW w:w="5794" w:type="dxa"/>
            <w:noWrap w:val="0"/>
            <w:vAlign w:val="center"/>
          </w:tcPr>
          <w:p w14:paraId="4E801CD3">
            <w:pPr>
              <w:keepNext w:val="0"/>
              <w:keepLines w:val="0"/>
              <w:pageBreakBefore w:val="0"/>
              <w:kinsoku/>
              <w:wordWrap/>
              <w:overflowPunct/>
              <w:topLinePunct w:val="0"/>
              <w:bidi w:val="0"/>
              <w:adjustRightInd/>
              <w:snapToGrid/>
              <w:spacing w:line="400" w:lineRule="exact"/>
              <w:ind w:firstLine="420" w:firstLineChars="200"/>
              <w:jc w:val="left"/>
              <w:textAlignment w:val="auto"/>
              <w:rPr>
                <w:rFonts w:ascii="宋体" w:hAnsi="宋体"/>
                <w:kern w:val="0"/>
                <w:highlight w:val="none"/>
              </w:rPr>
            </w:pPr>
            <w:r>
              <w:rPr>
                <w:rFonts w:hint="eastAsia" w:ascii="宋体" w:hAnsi="宋体"/>
                <w:kern w:val="0"/>
                <w:highlight w:val="none"/>
              </w:rPr>
              <w:t>符合第一章、第二章相关规定</w:t>
            </w:r>
          </w:p>
        </w:tc>
      </w:tr>
      <w:tr w14:paraId="01B707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29910356">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p>
        </w:tc>
        <w:tc>
          <w:tcPr>
            <w:tcW w:w="992" w:type="dxa"/>
            <w:vMerge w:val="continue"/>
            <w:noWrap w:val="0"/>
            <w:vAlign w:val="top"/>
          </w:tcPr>
          <w:p w14:paraId="7967AD32">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p>
        </w:tc>
        <w:tc>
          <w:tcPr>
            <w:tcW w:w="1690" w:type="dxa"/>
            <w:noWrap w:val="0"/>
            <w:vAlign w:val="center"/>
          </w:tcPr>
          <w:p w14:paraId="69C746B0">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权利义务</w:t>
            </w:r>
          </w:p>
        </w:tc>
        <w:tc>
          <w:tcPr>
            <w:tcW w:w="5794" w:type="dxa"/>
            <w:noWrap w:val="0"/>
            <w:vAlign w:val="center"/>
          </w:tcPr>
          <w:p w14:paraId="2C9598FB">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符合第四章“</w:t>
            </w:r>
            <w:r>
              <w:rPr>
                <w:rFonts w:hint="eastAsia" w:ascii="宋体" w:hAnsi="宋体"/>
                <w:kern w:val="0"/>
                <w:highlight w:val="none"/>
              </w:rPr>
              <w:t>合同主要条款</w:t>
            </w:r>
            <w:r>
              <w:rPr>
                <w:rFonts w:ascii="宋体" w:hAnsi="宋体"/>
                <w:kern w:val="0"/>
                <w:highlight w:val="none"/>
              </w:rPr>
              <w:t>”规定，参选文件不应附有比选人不能接受的条件。</w:t>
            </w:r>
          </w:p>
        </w:tc>
      </w:tr>
      <w:tr w14:paraId="40FCAD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0970AFE7">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992" w:type="dxa"/>
            <w:vMerge w:val="continue"/>
            <w:noWrap w:val="0"/>
            <w:vAlign w:val="top"/>
          </w:tcPr>
          <w:p w14:paraId="674E93EB">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1690" w:type="dxa"/>
            <w:noWrap w:val="0"/>
            <w:vAlign w:val="center"/>
          </w:tcPr>
          <w:p w14:paraId="04A21074">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实质性要求</w:t>
            </w:r>
          </w:p>
        </w:tc>
        <w:tc>
          <w:tcPr>
            <w:tcW w:w="5794" w:type="dxa"/>
            <w:noWrap w:val="0"/>
            <w:vAlign w:val="center"/>
          </w:tcPr>
          <w:p w14:paraId="32D08898">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kern w:val="0"/>
                <w:highlight w:val="none"/>
              </w:rPr>
              <w:t>符合第二章“参选人须知”。</w:t>
            </w:r>
          </w:p>
          <w:p w14:paraId="2E274A9E">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kern w:val="0"/>
                <w:highlight w:val="none"/>
              </w:rPr>
              <w:t>本次参选不得有串通参选</w:t>
            </w:r>
            <w:r>
              <w:rPr>
                <w:rFonts w:ascii="宋体" w:hAnsi="宋体"/>
                <w:kern w:val="0"/>
                <w:highlight w:val="none"/>
              </w:rPr>
              <w:t>、弄虚作假等其他违反招参选相关法律、法规行为。</w:t>
            </w:r>
          </w:p>
          <w:p w14:paraId="0EB9A6B8">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cs="宋体"/>
                <w:kern w:val="0"/>
                <w:highlight w:val="none"/>
              </w:rPr>
              <w:t>按公开比选委员会要求澄清、说明或补正。</w:t>
            </w:r>
          </w:p>
        </w:tc>
      </w:tr>
      <w:tr w14:paraId="4F955B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24" w:hRule="atLeast"/>
          <w:jc w:val="center"/>
        </w:trPr>
        <w:tc>
          <w:tcPr>
            <w:tcW w:w="1986" w:type="dxa"/>
            <w:gridSpan w:val="2"/>
            <w:noWrap w:val="0"/>
            <w:vAlign w:val="center"/>
          </w:tcPr>
          <w:p w14:paraId="51D88E7E">
            <w:pPr>
              <w:keepNext w:val="0"/>
              <w:keepLines w:val="0"/>
              <w:pageBreakBefore w:val="0"/>
              <w:kinsoku/>
              <w:wordWrap/>
              <w:overflowPunct/>
              <w:topLinePunct w:val="0"/>
              <w:bidi w:val="0"/>
              <w:adjustRightInd/>
              <w:snapToGrid/>
              <w:spacing w:line="400" w:lineRule="exact"/>
              <w:ind w:firstLine="210" w:firstLineChars="100"/>
              <w:jc w:val="center"/>
              <w:textAlignment w:val="auto"/>
              <w:rPr>
                <w:rFonts w:ascii="宋体" w:hAnsi="宋体"/>
                <w:kern w:val="0"/>
                <w:highlight w:val="none"/>
              </w:rPr>
            </w:pPr>
            <w:r>
              <w:rPr>
                <w:rFonts w:ascii="宋体" w:hAnsi="宋体"/>
                <w:kern w:val="0"/>
                <w:highlight w:val="none"/>
              </w:rPr>
              <w:t>2.2.1</w:t>
            </w:r>
          </w:p>
        </w:tc>
        <w:tc>
          <w:tcPr>
            <w:tcW w:w="1690" w:type="dxa"/>
            <w:noWrap w:val="0"/>
            <w:vAlign w:val="center"/>
          </w:tcPr>
          <w:p w14:paraId="017E99C7">
            <w:pPr>
              <w:keepNext w:val="0"/>
              <w:keepLines w:val="0"/>
              <w:pageBreakBefore w:val="0"/>
              <w:tabs>
                <w:tab w:val="left" w:pos="1875"/>
              </w:tabs>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kern w:val="0"/>
                <w:highlight w:val="none"/>
              </w:rPr>
              <w:t>分值构成 （总分1</w:t>
            </w:r>
            <w:r>
              <w:rPr>
                <w:rFonts w:hint="eastAsia" w:ascii="宋体" w:hAnsi="宋体"/>
                <w:kern w:val="0"/>
                <w:highlight w:val="none"/>
              </w:rPr>
              <w:t>00</w:t>
            </w:r>
            <w:r>
              <w:rPr>
                <w:rFonts w:ascii="宋体" w:hAnsi="宋体"/>
                <w:kern w:val="0"/>
                <w:highlight w:val="none"/>
              </w:rPr>
              <w:t>分）</w:t>
            </w:r>
          </w:p>
        </w:tc>
        <w:tc>
          <w:tcPr>
            <w:tcW w:w="5794" w:type="dxa"/>
            <w:noWrap w:val="0"/>
            <w:vAlign w:val="center"/>
          </w:tcPr>
          <w:p w14:paraId="7D3A1122">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1.</w:t>
            </w:r>
            <w:r>
              <w:rPr>
                <w:rFonts w:hint="eastAsia" w:ascii="宋体" w:hAnsi="宋体"/>
                <w:kern w:val="0"/>
                <w:highlight w:val="none"/>
              </w:rPr>
              <w:t>技术部分</w:t>
            </w:r>
            <w:r>
              <w:rPr>
                <w:rFonts w:hint="eastAsia" w:ascii="宋体" w:hAnsi="宋体"/>
                <w:kern w:val="0"/>
                <w:highlight w:val="none"/>
                <w:lang w:val="en-US" w:eastAsia="zh-CN"/>
              </w:rPr>
              <w:t>40</w:t>
            </w:r>
            <w:r>
              <w:rPr>
                <w:rFonts w:ascii="宋体" w:hAnsi="宋体"/>
                <w:kern w:val="0"/>
                <w:highlight w:val="none"/>
              </w:rPr>
              <w:t>分</w:t>
            </w:r>
            <w:r>
              <w:rPr>
                <w:rFonts w:hint="eastAsia" w:ascii="宋体" w:hAnsi="宋体"/>
                <w:kern w:val="0"/>
                <w:highlight w:val="none"/>
              </w:rPr>
              <w:t>；</w:t>
            </w:r>
          </w:p>
          <w:p w14:paraId="6F3FC332">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3.参选</w:t>
            </w:r>
            <w:r>
              <w:rPr>
                <w:rFonts w:hint="eastAsia" w:ascii="宋体" w:hAnsi="宋体"/>
                <w:kern w:val="0"/>
                <w:highlight w:val="none"/>
              </w:rPr>
              <w:t>报价</w:t>
            </w:r>
            <w:r>
              <w:rPr>
                <w:rFonts w:ascii="宋体" w:hAnsi="宋体"/>
                <w:kern w:val="0"/>
                <w:highlight w:val="none"/>
              </w:rPr>
              <w:t>60</w:t>
            </w:r>
            <w:r>
              <w:rPr>
                <w:rFonts w:hint="eastAsia" w:ascii="宋体" w:hAnsi="宋体"/>
                <w:kern w:val="0"/>
                <w:highlight w:val="none"/>
              </w:rPr>
              <w:t>分</w:t>
            </w:r>
            <w:r>
              <w:rPr>
                <w:rFonts w:hint="eastAsia" w:ascii="宋体" w:hAnsi="宋体"/>
                <w:kern w:val="0"/>
                <w:highlight w:val="none"/>
                <w:lang w:eastAsia="zh-CN"/>
              </w:rPr>
              <w:t>（</w:t>
            </w:r>
            <w:r>
              <w:rPr>
                <w:rFonts w:hint="eastAsia" w:ascii="宋体" w:hAnsi="宋体"/>
                <w:kern w:val="0"/>
                <w:highlight w:val="none"/>
                <w:lang w:val="en-US" w:eastAsia="zh-CN"/>
              </w:rPr>
              <w:t>其中设计费报价5分；工程费报价55分</w:t>
            </w:r>
            <w:r>
              <w:rPr>
                <w:rFonts w:hint="eastAsia" w:ascii="宋体" w:hAnsi="宋体"/>
                <w:kern w:val="0"/>
                <w:highlight w:val="none"/>
                <w:lang w:eastAsia="zh-CN"/>
              </w:rPr>
              <w:t>）</w:t>
            </w:r>
            <w:r>
              <w:rPr>
                <w:rFonts w:hint="eastAsia" w:ascii="宋体" w:hAnsi="宋体"/>
                <w:kern w:val="0"/>
                <w:highlight w:val="none"/>
              </w:rPr>
              <w:t>。</w:t>
            </w:r>
          </w:p>
        </w:tc>
      </w:tr>
      <w:tr w14:paraId="5BD81A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994" w:type="dxa"/>
            <w:tcBorders>
              <w:right w:val="single" w:color="auto" w:sz="4" w:space="0"/>
            </w:tcBorders>
            <w:noWrap w:val="0"/>
            <w:vAlign w:val="center"/>
          </w:tcPr>
          <w:p w14:paraId="11B64E4A">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hint="eastAsia" w:ascii="宋体" w:hAnsi="宋体"/>
                <w:kern w:val="0"/>
                <w:highlight w:val="none"/>
              </w:rPr>
              <w:t>2.2.2（1）</w:t>
            </w:r>
          </w:p>
        </w:tc>
        <w:tc>
          <w:tcPr>
            <w:tcW w:w="992" w:type="dxa"/>
            <w:tcBorders>
              <w:left w:val="single" w:color="auto" w:sz="4" w:space="0"/>
            </w:tcBorders>
            <w:noWrap w:val="0"/>
            <w:vAlign w:val="center"/>
          </w:tcPr>
          <w:p w14:paraId="46D49AA5">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hint="eastAsia" w:ascii="宋体" w:hAnsi="宋体"/>
                <w:kern w:val="0"/>
                <w:highlight w:val="none"/>
              </w:rPr>
              <w:t>技术部分评分标准</w:t>
            </w:r>
          </w:p>
        </w:tc>
        <w:tc>
          <w:tcPr>
            <w:tcW w:w="1690" w:type="dxa"/>
            <w:noWrap w:val="0"/>
            <w:vAlign w:val="center"/>
          </w:tcPr>
          <w:p w14:paraId="42F168E4">
            <w:pPr>
              <w:keepNext w:val="0"/>
              <w:keepLines w:val="0"/>
              <w:pageBreakBefore w:val="0"/>
              <w:tabs>
                <w:tab w:val="left" w:pos="1875"/>
              </w:tabs>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kern w:val="0"/>
                <w:highlight w:val="none"/>
              </w:rPr>
              <w:t>技术</w:t>
            </w:r>
            <w:r>
              <w:rPr>
                <w:rFonts w:hint="eastAsia" w:ascii="宋体" w:hAnsi="宋体"/>
                <w:kern w:val="0"/>
                <w:highlight w:val="none"/>
              </w:rPr>
              <w:t>部分</w:t>
            </w:r>
            <w:r>
              <w:rPr>
                <w:rFonts w:ascii="宋体" w:hAnsi="宋体"/>
                <w:kern w:val="0"/>
                <w:highlight w:val="none"/>
              </w:rPr>
              <w:t>评审</w:t>
            </w:r>
            <w:r>
              <w:rPr>
                <w:rFonts w:hint="eastAsia" w:ascii="宋体" w:hAnsi="宋体"/>
                <w:kern w:val="0"/>
                <w:highlight w:val="none"/>
              </w:rPr>
              <w:t>标准</w:t>
            </w:r>
          </w:p>
        </w:tc>
        <w:tc>
          <w:tcPr>
            <w:tcW w:w="5794" w:type="dxa"/>
            <w:noWrap w:val="0"/>
            <w:vAlign w:val="top"/>
          </w:tcPr>
          <w:p w14:paraId="6013144C">
            <w:pPr>
              <w:keepNext w:val="0"/>
              <w:keepLines w:val="0"/>
              <w:pageBreakBefore w:val="0"/>
              <w:widowControl/>
              <w:kinsoku/>
              <w:wordWrap/>
              <w:overflowPunct/>
              <w:topLinePunct w:val="0"/>
              <w:bidi w:val="0"/>
              <w:adjustRightInd/>
              <w:snapToGrid/>
              <w:spacing w:line="400" w:lineRule="exact"/>
              <w:ind w:firstLine="420" w:firstLineChars="200"/>
              <w:textAlignment w:val="auto"/>
              <w:rPr>
                <w:rFonts w:hint="eastAsia" w:ascii="宋体" w:hAnsi="宋体"/>
                <w:snapToGrid w:val="0"/>
                <w:color w:val="000000"/>
                <w:kern w:val="0"/>
                <w:szCs w:val="21"/>
                <w:highlight w:val="none"/>
                <w:u w:val="single"/>
                <w:lang w:val="en-US" w:eastAsia="zh-CN"/>
              </w:rPr>
            </w:pPr>
            <w:r>
              <w:rPr>
                <w:rFonts w:hint="eastAsia" w:ascii="宋体" w:hAnsi="宋体"/>
                <w:kern w:val="0"/>
                <w:highlight w:val="none"/>
                <w:u w:val="none"/>
              </w:rPr>
              <w:t>根据必要的现状调查、市场调查及自身对项目的理解</w:t>
            </w:r>
            <w:r>
              <w:rPr>
                <w:rFonts w:hint="eastAsia" w:ascii="宋体" w:hAnsi="宋体"/>
                <w:kern w:val="0"/>
                <w:highlight w:val="none"/>
                <w:u w:val="none"/>
                <w:lang w:eastAsia="zh-CN"/>
              </w:rPr>
              <w:t>，</w:t>
            </w:r>
            <w:r>
              <w:rPr>
                <w:rFonts w:hint="eastAsia" w:ascii="宋体" w:hAnsi="宋体"/>
                <w:snapToGrid w:val="0"/>
                <w:color w:val="000000"/>
                <w:kern w:val="0"/>
                <w:szCs w:val="21"/>
                <w:highlight w:val="none"/>
                <w:u w:val="none"/>
                <w:lang w:val="en-US" w:eastAsia="zh-CN"/>
              </w:rPr>
              <w:t>综合项目现状编制参选技术方案，内容包括但不限于：</w:t>
            </w:r>
            <w:r>
              <w:rPr>
                <w:rFonts w:hint="eastAsia" w:ascii="宋体" w:hAnsi="宋体"/>
                <w:snapToGrid w:val="0"/>
                <w:color w:val="000000"/>
                <w:kern w:val="0"/>
                <w:szCs w:val="21"/>
                <w:highlight w:val="none"/>
                <w:u w:val="single"/>
                <w:lang w:val="en-US" w:eastAsia="zh-CN"/>
              </w:rPr>
              <w:t>该项目参选人须对项目现状进行初步勘测、调查、评估（参选人自行组织踏勘调研），对本次参选项目所涉及内容有基础了解，综合项目现状编制参选技术方案，内容包括但不限于：一是在设计内容方面参选人需要对以下内容，</w:t>
            </w:r>
            <w:r>
              <w:rPr>
                <w:rFonts w:hint="eastAsia" w:ascii="宋体" w:hAnsi="宋体" w:cs="Times New Roman"/>
                <w:snapToGrid w:val="0"/>
                <w:color w:val="000000"/>
                <w:kern w:val="0"/>
                <w:szCs w:val="21"/>
                <w:highlight w:val="none"/>
                <w:u w:val="single"/>
                <w:lang w:val="en-US" w:eastAsia="zh-CN"/>
              </w:rPr>
              <w:t>即：阿依河景区岩头坝区域艺术装置、展陈提升与沉浸式演艺场景三方面</w:t>
            </w:r>
            <w:r>
              <w:rPr>
                <w:rFonts w:hint="eastAsia" w:ascii="宋体" w:hAnsi="宋体"/>
                <w:snapToGrid w:val="0"/>
                <w:color w:val="000000"/>
                <w:kern w:val="0"/>
                <w:szCs w:val="21"/>
                <w:highlight w:val="none"/>
                <w:u w:val="single"/>
                <w:lang w:val="en-US" w:eastAsia="zh-CN"/>
              </w:rPr>
              <w:t>提出设计布局思路、所达到的效果，以及技术服务工作大纲。二是在工程施作方面需要提供施工方案。格式自拟。</w:t>
            </w:r>
          </w:p>
          <w:p w14:paraId="6ADA6B9A">
            <w:pPr>
              <w:keepNext w:val="0"/>
              <w:keepLines w:val="0"/>
              <w:pageBreakBefore w:val="0"/>
              <w:widowControl/>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lang w:val="en-US" w:eastAsia="zh-CN"/>
              </w:rPr>
              <w:t>综合评价后按如下标准打分：</w:t>
            </w:r>
            <w:r>
              <w:rPr>
                <w:rFonts w:hint="eastAsia" w:ascii="宋体" w:hAnsi="宋体"/>
              </w:rPr>
              <w:t>优：</w:t>
            </w:r>
            <w:r>
              <w:rPr>
                <w:rFonts w:hint="eastAsia" w:ascii="宋体" w:hAnsi="宋体"/>
                <w:lang w:val="en-US" w:eastAsia="zh-CN"/>
              </w:rPr>
              <w:t>40-30</w:t>
            </w:r>
            <w:r>
              <w:rPr>
                <w:rFonts w:hint="eastAsia" w:ascii="宋体" w:hAnsi="宋体"/>
              </w:rPr>
              <w:t>分</w:t>
            </w:r>
            <w:r>
              <w:rPr>
                <w:rFonts w:hint="eastAsia" w:ascii="宋体" w:hAnsi="宋体"/>
                <w:lang w:eastAsia="zh-CN"/>
              </w:rPr>
              <w:t>；</w:t>
            </w:r>
            <w:r>
              <w:rPr>
                <w:rFonts w:hint="eastAsia" w:ascii="宋体" w:hAnsi="宋体"/>
              </w:rPr>
              <w:t>良：</w:t>
            </w:r>
            <w:r>
              <w:rPr>
                <w:rFonts w:hint="eastAsia" w:ascii="宋体" w:hAnsi="宋体"/>
                <w:lang w:val="en-US" w:eastAsia="zh-CN"/>
              </w:rPr>
              <w:t>30（不含）</w:t>
            </w:r>
            <w:r>
              <w:rPr>
                <w:rFonts w:hint="eastAsia" w:ascii="宋体" w:hAnsi="宋体"/>
              </w:rPr>
              <w:t>-</w:t>
            </w:r>
            <w:r>
              <w:rPr>
                <w:rFonts w:hint="eastAsia" w:ascii="宋体" w:hAnsi="宋体"/>
                <w:lang w:val="en-US" w:eastAsia="zh-CN"/>
              </w:rPr>
              <w:t>15</w:t>
            </w:r>
            <w:r>
              <w:rPr>
                <w:rFonts w:hint="eastAsia" w:ascii="宋体" w:hAnsi="宋体"/>
              </w:rPr>
              <w:t>分</w:t>
            </w:r>
            <w:r>
              <w:rPr>
                <w:rFonts w:hint="eastAsia" w:ascii="宋体" w:hAnsi="宋体"/>
                <w:lang w:eastAsia="zh-CN"/>
              </w:rPr>
              <w:t>；</w:t>
            </w:r>
            <w:r>
              <w:rPr>
                <w:rFonts w:hint="eastAsia" w:ascii="宋体" w:hAnsi="宋体"/>
              </w:rPr>
              <w:t>一般：</w:t>
            </w:r>
            <w:r>
              <w:rPr>
                <w:rFonts w:hint="eastAsia" w:ascii="宋体" w:hAnsi="宋体"/>
                <w:lang w:val="en-US" w:eastAsia="zh-CN"/>
              </w:rPr>
              <w:t>15（不含）-5</w:t>
            </w:r>
            <w:r>
              <w:rPr>
                <w:rFonts w:hint="eastAsia" w:ascii="宋体" w:hAnsi="宋体"/>
              </w:rPr>
              <w:t>分,差：</w:t>
            </w:r>
            <w:r>
              <w:rPr>
                <w:rFonts w:hint="eastAsia" w:ascii="宋体" w:hAnsi="宋体"/>
                <w:lang w:val="en-US" w:eastAsia="zh-CN"/>
              </w:rPr>
              <w:t>5分</w:t>
            </w:r>
            <w:r>
              <w:rPr>
                <w:rFonts w:hint="eastAsia" w:ascii="宋体" w:hAnsi="宋体"/>
              </w:rPr>
              <w:t>(不含)</w:t>
            </w:r>
            <w:r>
              <w:rPr>
                <w:rFonts w:hint="eastAsia" w:ascii="宋体" w:hAnsi="宋体"/>
                <w:lang w:val="en-US" w:eastAsia="zh-CN"/>
              </w:rPr>
              <w:t>-0</w:t>
            </w:r>
            <w:r>
              <w:rPr>
                <w:rFonts w:hint="eastAsia" w:ascii="宋体" w:hAnsi="宋体"/>
              </w:rPr>
              <w:t>分</w:t>
            </w:r>
            <w:r>
              <w:rPr>
                <w:rFonts w:hint="eastAsia" w:ascii="宋体" w:hAnsi="宋体"/>
                <w:lang w:eastAsia="zh-CN"/>
              </w:rPr>
              <w:t>。</w:t>
            </w:r>
          </w:p>
        </w:tc>
      </w:tr>
      <w:tr w14:paraId="6B5CAA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noWrap w:val="0"/>
            <w:vAlign w:val="center"/>
          </w:tcPr>
          <w:p w14:paraId="41E2AEFD">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highlight w:val="none"/>
              </w:rPr>
              <w:t>3</w:t>
            </w:r>
          </w:p>
        </w:tc>
        <w:tc>
          <w:tcPr>
            <w:tcW w:w="992" w:type="dxa"/>
            <w:noWrap w:val="0"/>
            <w:vAlign w:val="center"/>
          </w:tcPr>
          <w:p w14:paraId="14CF731B">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highlight w:val="none"/>
              </w:rPr>
              <w:t>评标程序</w:t>
            </w:r>
          </w:p>
        </w:tc>
        <w:tc>
          <w:tcPr>
            <w:tcW w:w="7484" w:type="dxa"/>
            <w:gridSpan w:val="2"/>
            <w:noWrap w:val="0"/>
            <w:vAlign w:val="top"/>
          </w:tcPr>
          <w:p w14:paraId="62954ED4">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szCs w:val="21"/>
                <w:highlight w:val="none"/>
              </w:rPr>
            </w:pPr>
            <w:r>
              <w:rPr>
                <w:rFonts w:hint="eastAsia" w:ascii="宋体" w:hAnsi="宋体"/>
                <w:szCs w:val="21"/>
                <w:highlight w:val="none"/>
              </w:rPr>
              <w:t>1.资格不满足要求或公开比选委员会认定为无效的参选文件的不进行后续评审。</w:t>
            </w:r>
          </w:p>
          <w:p w14:paraId="340A31B5">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szCs w:val="21"/>
                <w:highlight w:val="none"/>
              </w:rPr>
            </w:pPr>
            <w:r>
              <w:rPr>
                <w:rFonts w:hint="eastAsia" w:ascii="宋体" w:hAnsi="宋体"/>
                <w:szCs w:val="21"/>
                <w:highlight w:val="none"/>
              </w:rPr>
              <w:t>2.按本章评标办法前附表第2.2.2项及第3.2.1目的规定对参选文件进行评审。</w:t>
            </w:r>
          </w:p>
          <w:p w14:paraId="57F0563F">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szCs w:val="21"/>
                <w:highlight w:val="none"/>
              </w:rPr>
            </w:pPr>
            <w:r>
              <w:rPr>
                <w:rFonts w:ascii="宋体" w:hAnsi="宋体"/>
                <w:szCs w:val="21"/>
                <w:highlight w:val="none"/>
              </w:rPr>
              <w:t>3</w:t>
            </w:r>
            <w:r>
              <w:rPr>
                <w:rFonts w:hint="eastAsia" w:ascii="宋体" w:hAnsi="宋体"/>
                <w:szCs w:val="21"/>
                <w:highlight w:val="none"/>
              </w:rPr>
              <w:t>.对初步评审合格的参选人按照本附表第3.2.1（</w:t>
            </w:r>
            <w:r>
              <w:rPr>
                <w:rFonts w:ascii="宋体" w:hAnsi="宋体"/>
                <w:szCs w:val="21"/>
                <w:highlight w:val="none"/>
              </w:rPr>
              <w:t>3</w:t>
            </w:r>
            <w:r>
              <w:rPr>
                <w:rFonts w:hint="eastAsia" w:ascii="宋体" w:hAnsi="宋体"/>
                <w:szCs w:val="21"/>
                <w:highlight w:val="none"/>
              </w:rPr>
              <w:t>）目规定的评分方法对参选报价进行评分。</w:t>
            </w:r>
          </w:p>
          <w:p w14:paraId="6C9FED3A">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szCs w:val="21"/>
                <w:highlight w:val="none"/>
              </w:rPr>
            </w:pPr>
            <w:r>
              <w:rPr>
                <w:rFonts w:ascii="宋体" w:hAnsi="宋体"/>
                <w:szCs w:val="21"/>
                <w:highlight w:val="none"/>
              </w:rPr>
              <w:t>4</w:t>
            </w:r>
            <w:r>
              <w:rPr>
                <w:rFonts w:hint="eastAsia" w:ascii="宋体" w:hAnsi="宋体"/>
                <w:szCs w:val="21"/>
                <w:highlight w:val="none"/>
              </w:rPr>
              <w:t>.对技术部分、商务部分、参选报价得分进行汇总，确定得分由高至低前三名参选人为中选候选人。</w:t>
            </w:r>
          </w:p>
        </w:tc>
      </w:tr>
      <w:tr w14:paraId="1903A9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4" w:type="dxa"/>
            <w:noWrap w:val="0"/>
            <w:vAlign w:val="center"/>
          </w:tcPr>
          <w:p w14:paraId="1BEB2EE3">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highlight w:val="none"/>
              </w:rPr>
              <w:t>3.2.1</w:t>
            </w:r>
          </w:p>
          <w:p w14:paraId="4295D01D">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highlight w:val="none"/>
              </w:rPr>
              <w:t>（</w:t>
            </w:r>
            <w:r>
              <w:rPr>
                <w:rFonts w:hint="eastAsia" w:ascii="宋体" w:hAnsi="宋体"/>
                <w:highlight w:val="none"/>
              </w:rPr>
              <w:t>1</w:t>
            </w:r>
            <w:r>
              <w:rPr>
                <w:rFonts w:ascii="宋体" w:hAnsi="宋体"/>
                <w:highlight w:val="none"/>
              </w:rPr>
              <w:t>）</w:t>
            </w:r>
          </w:p>
        </w:tc>
        <w:tc>
          <w:tcPr>
            <w:tcW w:w="992" w:type="dxa"/>
            <w:noWrap w:val="0"/>
            <w:vAlign w:val="center"/>
          </w:tcPr>
          <w:p w14:paraId="7CE9DAFC">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hint="eastAsia" w:ascii="宋体" w:hAnsi="宋体"/>
                <w:highlight w:val="none"/>
              </w:rPr>
              <w:t>技术部分</w:t>
            </w:r>
            <w:r>
              <w:rPr>
                <w:rFonts w:ascii="宋体" w:hAnsi="宋体"/>
                <w:kern w:val="0"/>
                <w:highlight w:val="none"/>
              </w:rPr>
              <w:t>得分</w:t>
            </w:r>
            <w:r>
              <w:rPr>
                <w:rFonts w:ascii="宋体" w:hAnsi="宋体"/>
                <w:spacing w:val="-4"/>
                <w:highlight w:val="none"/>
              </w:rPr>
              <w:t>（</w:t>
            </w:r>
            <w:r>
              <w:rPr>
                <w:rFonts w:hint="eastAsia" w:ascii="宋体" w:hAnsi="宋体"/>
                <w:spacing w:val="-4"/>
                <w:highlight w:val="none"/>
              </w:rPr>
              <w:t>A</w:t>
            </w:r>
            <w:r>
              <w:rPr>
                <w:rFonts w:ascii="宋体" w:hAnsi="宋体"/>
                <w:spacing w:val="-4"/>
                <w:highlight w:val="none"/>
              </w:rPr>
              <w:t>=</w:t>
            </w:r>
            <w:r>
              <w:rPr>
                <w:rFonts w:hint="eastAsia" w:ascii="宋体" w:hAnsi="宋体"/>
                <w:spacing w:val="-4"/>
                <w:highlight w:val="none"/>
                <w:lang w:val="en-US" w:eastAsia="zh-CN"/>
              </w:rPr>
              <w:t>40</w:t>
            </w:r>
            <w:r>
              <w:rPr>
                <w:rFonts w:ascii="宋体" w:hAnsi="宋体"/>
                <w:spacing w:val="-4"/>
                <w:highlight w:val="none"/>
              </w:rPr>
              <w:t>分</w:t>
            </w:r>
            <w:r>
              <w:rPr>
                <w:rFonts w:hint="eastAsia" w:ascii="宋体" w:hAnsi="宋体"/>
                <w:spacing w:val="-4"/>
                <w:highlight w:val="none"/>
              </w:rPr>
              <w:t>）</w:t>
            </w:r>
          </w:p>
        </w:tc>
        <w:tc>
          <w:tcPr>
            <w:tcW w:w="7484" w:type="dxa"/>
            <w:gridSpan w:val="2"/>
            <w:noWrap w:val="0"/>
            <w:vAlign w:val="center"/>
          </w:tcPr>
          <w:p w14:paraId="464E34CA">
            <w:pPr>
              <w:keepNext w:val="0"/>
              <w:keepLines w:val="0"/>
              <w:pageBreakBefore w:val="0"/>
              <w:kinsoku/>
              <w:wordWrap/>
              <w:overflowPunct/>
              <w:topLinePunct w:val="0"/>
              <w:autoSpaceDE w:val="0"/>
              <w:autoSpaceDN w:val="0"/>
              <w:bidi w:val="0"/>
              <w:adjustRightInd/>
              <w:snapToGrid/>
              <w:spacing w:line="400" w:lineRule="exact"/>
              <w:ind w:firstLine="420" w:firstLineChars="200"/>
              <w:textAlignment w:val="auto"/>
              <w:rPr>
                <w:rFonts w:ascii="宋体" w:hAnsi="宋体"/>
                <w:szCs w:val="21"/>
                <w:highlight w:val="none"/>
              </w:rPr>
            </w:pPr>
            <w:r>
              <w:rPr>
                <w:rFonts w:hint="eastAsia" w:ascii="宋体" w:hAnsi="宋体"/>
                <w:szCs w:val="21"/>
                <w:highlight w:val="none"/>
              </w:rPr>
              <w:t>公开比选委员会</w:t>
            </w:r>
            <w:r>
              <w:rPr>
                <w:rFonts w:ascii="宋体" w:hAnsi="宋体"/>
                <w:szCs w:val="21"/>
                <w:highlight w:val="none"/>
              </w:rPr>
              <w:t>按</w:t>
            </w:r>
            <w:r>
              <w:rPr>
                <w:rFonts w:hint="eastAsia" w:ascii="宋体" w:hAnsi="宋体"/>
                <w:szCs w:val="21"/>
                <w:highlight w:val="none"/>
              </w:rPr>
              <w:t>第</w:t>
            </w:r>
            <w:r>
              <w:rPr>
                <w:rFonts w:ascii="宋体" w:hAnsi="宋体"/>
                <w:szCs w:val="21"/>
                <w:highlight w:val="none"/>
              </w:rPr>
              <w:t>2.2.</w:t>
            </w:r>
            <w:r>
              <w:rPr>
                <w:rFonts w:hint="eastAsia" w:ascii="宋体" w:hAnsi="宋体"/>
                <w:szCs w:val="21"/>
                <w:highlight w:val="none"/>
              </w:rPr>
              <w:t>2（1）</w:t>
            </w:r>
            <w:r>
              <w:rPr>
                <w:rFonts w:ascii="宋体" w:hAnsi="宋体"/>
                <w:szCs w:val="21"/>
                <w:highlight w:val="none"/>
              </w:rPr>
              <w:t>项各评审因素设定的分值评分。</w:t>
            </w:r>
          </w:p>
          <w:p w14:paraId="5D12048E">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snapToGrid w:val="0"/>
                <w:kern w:val="0"/>
                <w:szCs w:val="21"/>
                <w:highlight w:val="none"/>
              </w:rPr>
            </w:pPr>
            <w:r>
              <w:rPr>
                <w:rFonts w:hint="eastAsia" w:ascii="宋体" w:hAnsi="宋体"/>
                <w:snapToGrid w:val="0"/>
                <w:kern w:val="0"/>
                <w:szCs w:val="21"/>
                <w:highlight w:val="none"/>
              </w:rPr>
              <w:t>公开比选委员会</w:t>
            </w:r>
            <w:r>
              <w:rPr>
                <w:rFonts w:ascii="宋体" w:hAnsi="宋体"/>
                <w:snapToGrid w:val="0"/>
                <w:kern w:val="0"/>
                <w:szCs w:val="21"/>
                <w:highlight w:val="none"/>
              </w:rPr>
              <w:t>成员打分取算术平均值为该参选人技术</w:t>
            </w:r>
            <w:r>
              <w:rPr>
                <w:rFonts w:hint="eastAsia" w:ascii="宋体" w:hAnsi="宋体"/>
                <w:snapToGrid w:val="0"/>
                <w:kern w:val="0"/>
                <w:szCs w:val="21"/>
                <w:highlight w:val="none"/>
              </w:rPr>
              <w:t>部分</w:t>
            </w:r>
            <w:r>
              <w:rPr>
                <w:rFonts w:ascii="宋体" w:hAnsi="宋体"/>
                <w:snapToGrid w:val="0"/>
                <w:kern w:val="0"/>
                <w:szCs w:val="21"/>
                <w:highlight w:val="none"/>
              </w:rPr>
              <w:t>得分。</w:t>
            </w:r>
          </w:p>
          <w:p w14:paraId="4E1EDF91">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szCs w:val="21"/>
                <w:highlight w:val="none"/>
              </w:rPr>
            </w:pPr>
            <w:r>
              <w:rPr>
                <w:rFonts w:ascii="宋体" w:hAnsi="宋体"/>
                <w:kern w:val="0"/>
                <w:szCs w:val="21"/>
                <w:highlight w:val="none"/>
              </w:rPr>
              <w:t>技术</w:t>
            </w:r>
            <w:r>
              <w:rPr>
                <w:rFonts w:hint="eastAsia" w:ascii="宋体" w:hAnsi="宋体"/>
                <w:kern w:val="0"/>
                <w:szCs w:val="21"/>
                <w:highlight w:val="none"/>
              </w:rPr>
              <w:t>部分</w:t>
            </w:r>
            <w:r>
              <w:rPr>
                <w:rFonts w:ascii="宋体" w:hAnsi="宋体"/>
                <w:kern w:val="0"/>
                <w:szCs w:val="21"/>
                <w:highlight w:val="none"/>
              </w:rPr>
              <w:t>得分的最终结果取小数点后两位，第三位四舍五入。</w:t>
            </w:r>
          </w:p>
        </w:tc>
      </w:tr>
      <w:tr w14:paraId="205F1C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307" w:hRule="atLeast"/>
          <w:jc w:val="center"/>
        </w:trPr>
        <w:tc>
          <w:tcPr>
            <w:tcW w:w="994" w:type="dxa"/>
            <w:noWrap w:val="0"/>
            <w:vAlign w:val="center"/>
          </w:tcPr>
          <w:p w14:paraId="76E7B7F3">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hint="eastAsia" w:ascii="宋体" w:hAnsi="宋体"/>
                <w:highlight w:val="none"/>
              </w:rPr>
              <w:t>3.2.1</w:t>
            </w:r>
          </w:p>
          <w:p w14:paraId="4A2B9317">
            <w:pPr>
              <w:keepNext w:val="0"/>
              <w:keepLines w:val="0"/>
              <w:pageBreakBefore w:val="0"/>
              <w:kinsoku/>
              <w:wordWrap/>
              <w:overflowPunct/>
              <w:topLinePunct w:val="0"/>
              <w:bidi w:val="0"/>
              <w:adjustRightInd/>
              <w:snapToGrid/>
              <w:spacing w:line="400" w:lineRule="exact"/>
              <w:jc w:val="center"/>
              <w:textAlignment w:val="auto"/>
              <w:rPr>
                <w:highlight w:val="none"/>
              </w:rPr>
            </w:pPr>
            <w:r>
              <w:rPr>
                <w:rFonts w:hint="eastAsia" w:ascii="宋体" w:hAnsi="宋体"/>
                <w:highlight w:val="none"/>
              </w:rPr>
              <w:t>（3）</w:t>
            </w:r>
          </w:p>
        </w:tc>
        <w:tc>
          <w:tcPr>
            <w:tcW w:w="992" w:type="dxa"/>
            <w:noWrap w:val="0"/>
            <w:vAlign w:val="center"/>
          </w:tcPr>
          <w:p w14:paraId="2FEB076F">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hint="eastAsia" w:ascii="宋体" w:hAnsi="宋体"/>
                <w:highlight w:val="none"/>
              </w:rPr>
              <w:t>参选报价得分（C</w:t>
            </w:r>
            <w:r>
              <w:rPr>
                <w:rFonts w:ascii="宋体" w:hAnsi="宋体"/>
                <w:spacing w:val="-4"/>
                <w:highlight w:val="none"/>
              </w:rPr>
              <w:t>=60分</w:t>
            </w:r>
            <w:r>
              <w:rPr>
                <w:rFonts w:hint="eastAsia" w:ascii="宋体" w:hAnsi="宋体"/>
                <w:highlight w:val="none"/>
              </w:rPr>
              <w:t>）</w:t>
            </w:r>
          </w:p>
        </w:tc>
        <w:tc>
          <w:tcPr>
            <w:tcW w:w="7484" w:type="dxa"/>
            <w:gridSpan w:val="2"/>
            <w:noWrap w:val="0"/>
            <w:vAlign w:val="center"/>
          </w:tcPr>
          <w:p w14:paraId="6AF256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1、所有通过初步评审（</w:t>
            </w:r>
            <w:r>
              <w:rPr>
                <w:rFonts w:hint="eastAsia" w:ascii="宋体" w:hAnsi="宋体" w:eastAsia="宋体" w:cs="宋体"/>
                <w:color w:val="auto"/>
                <w:kern w:val="0"/>
                <w:szCs w:val="21"/>
                <w:highlight w:val="none"/>
                <w:lang w:eastAsia="zh-CN"/>
              </w:rPr>
              <w:t>资格评审、形式评审和响应性评审</w:t>
            </w:r>
            <w:r>
              <w:rPr>
                <w:rFonts w:hint="eastAsia" w:ascii="宋体" w:hAnsi="宋体"/>
                <w:szCs w:val="21"/>
                <w:highlight w:val="none"/>
                <w:lang w:val="en-US" w:eastAsia="zh-CN"/>
              </w:rPr>
              <w:t>）合格的参选人的投标报价为有效报价，有效报价中设计费报价5分，工程费报价55分。</w:t>
            </w:r>
          </w:p>
          <w:p w14:paraId="22A2B8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2、设计费最低报价为设计费评标基准价，得满分5分，其他设计费投标报价与评标基准价相比，每增加1%扣0.2分，扣完为止。</w:t>
            </w:r>
          </w:p>
          <w:p w14:paraId="4E320B6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Calibri" w:hAnsi="Calibri" w:eastAsia="宋体" w:cs="Calibri"/>
                <w:color w:val="auto"/>
                <w:kern w:val="0"/>
                <w:szCs w:val="21"/>
                <w:highlight w:val="none"/>
                <w:lang w:val="en-US" w:eastAsia="zh-CN"/>
              </w:rPr>
              <w:t>例如：</w:t>
            </w:r>
            <w:r>
              <w:rPr>
                <w:rFonts w:hint="eastAsia" w:ascii="宋体" w:hAnsi="宋体" w:eastAsia="宋体" w:cs="宋体"/>
                <w:color w:val="auto"/>
                <w:kern w:val="0"/>
                <w:szCs w:val="21"/>
                <w:highlight w:val="none"/>
                <w:lang w:eastAsia="zh-CN"/>
              </w:rPr>
              <w:t>A</w:t>
            </w:r>
            <w:r>
              <w:rPr>
                <w:rFonts w:hint="eastAsia" w:ascii="宋体" w:hAnsi="宋体" w:cs="宋体"/>
                <w:color w:val="auto"/>
                <w:kern w:val="0"/>
                <w:szCs w:val="21"/>
                <w:highlight w:val="none"/>
                <w:lang w:eastAsia="zh-CN"/>
              </w:rPr>
              <w:t>参选人</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lang w:val="en-US" w:eastAsia="zh-CN"/>
              </w:rPr>
              <w:t>设计费</w:t>
            </w:r>
            <w:r>
              <w:rPr>
                <w:rFonts w:hint="eastAsia" w:ascii="宋体" w:hAnsi="宋体" w:eastAsia="宋体" w:cs="宋体"/>
                <w:color w:val="auto"/>
                <w:kern w:val="0"/>
                <w:szCs w:val="21"/>
                <w:highlight w:val="none"/>
                <w:lang w:eastAsia="zh-CN"/>
              </w:rPr>
              <w:t>报价为</w:t>
            </w:r>
            <w:r>
              <w:rPr>
                <w:rFonts w:hint="eastAsia" w:ascii="宋体" w:hAnsi="宋体" w:cs="宋体"/>
                <w:color w:val="auto"/>
                <w:kern w:val="0"/>
                <w:szCs w:val="21"/>
                <w:highlight w:val="none"/>
                <w:lang w:val="en-US" w:eastAsia="zh-CN"/>
              </w:rPr>
              <w:t>13000</w:t>
            </w:r>
            <w:r>
              <w:rPr>
                <w:rFonts w:hint="eastAsia" w:ascii="宋体" w:hAnsi="宋体" w:eastAsia="宋体" w:cs="宋体"/>
                <w:color w:val="auto"/>
                <w:kern w:val="0"/>
                <w:szCs w:val="21"/>
                <w:highlight w:val="none"/>
                <w:lang w:val="en-US" w:eastAsia="zh-CN"/>
              </w:rPr>
              <w:t>元</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设计费最低</w:t>
            </w:r>
            <w:r>
              <w:rPr>
                <w:rFonts w:hint="eastAsia" w:ascii="宋体" w:hAnsi="宋体" w:eastAsia="宋体" w:cs="宋体"/>
                <w:color w:val="auto"/>
                <w:kern w:val="0"/>
                <w:szCs w:val="21"/>
                <w:highlight w:val="none"/>
                <w:lang w:eastAsia="zh-CN"/>
              </w:rPr>
              <w:t>投标报价为</w:t>
            </w:r>
            <w:r>
              <w:rPr>
                <w:rFonts w:hint="eastAsia" w:ascii="宋体" w:hAnsi="宋体" w:cs="宋体"/>
                <w:color w:val="auto"/>
                <w:kern w:val="0"/>
                <w:szCs w:val="21"/>
                <w:highlight w:val="none"/>
                <w:lang w:val="en-US" w:eastAsia="zh-CN"/>
              </w:rPr>
              <w:t>120</w:t>
            </w:r>
            <w:r>
              <w:rPr>
                <w:rFonts w:hint="eastAsia" w:ascii="宋体" w:hAnsi="宋体" w:eastAsia="宋体" w:cs="宋体"/>
                <w:color w:val="auto"/>
                <w:kern w:val="0"/>
                <w:szCs w:val="21"/>
                <w:highlight w:val="none"/>
                <w:lang w:val="en-US" w:eastAsia="zh-CN"/>
              </w:rPr>
              <w:t>00</w:t>
            </w:r>
            <w:r>
              <w:rPr>
                <w:rFonts w:hint="eastAsia" w:ascii="宋体" w:hAnsi="宋体" w:cs="宋体"/>
                <w:color w:val="auto"/>
                <w:kern w:val="0"/>
                <w:szCs w:val="21"/>
                <w:highlight w:val="none"/>
                <w:lang w:val="en-US" w:eastAsia="zh-CN"/>
              </w:rPr>
              <w:t>元</w:t>
            </w:r>
            <w:r>
              <w:rPr>
                <w:rFonts w:hint="eastAsia" w:ascii="宋体" w:hAnsi="宋体" w:eastAsia="宋体" w:cs="宋体"/>
                <w:color w:val="auto"/>
                <w:kern w:val="0"/>
                <w:szCs w:val="21"/>
                <w:highlight w:val="none"/>
                <w:lang w:eastAsia="zh-CN"/>
              </w:rPr>
              <w:t>，则A</w:t>
            </w:r>
            <w:r>
              <w:rPr>
                <w:rFonts w:hint="eastAsia" w:ascii="宋体" w:hAnsi="宋体" w:cs="宋体"/>
                <w:color w:val="auto"/>
                <w:kern w:val="0"/>
                <w:szCs w:val="21"/>
                <w:highlight w:val="none"/>
                <w:lang w:eastAsia="zh-CN"/>
              </w:rPr>
              <w:t>参选人</w:t>
            </w:r>
            <w:r>
              <w:rPr>
                <w:rFonts w:hint="eastAsia" w:ascii="宋体" w:hAnsi="宋体" w:eastAsia="宋体" w:cs="宋体"/>
                <w:color w:val="auto"/>
                <w:kern w:val="0"/>
                <w:szCs w:val="21"/>
                <w:highlight w:val="none"/>
                <w:lang w:eastAsia="zh-CN"/>
              </w:rPr>
              <w:t>的</w:t>
            </w:r>
            <w:r>
              <w:rPr>
                <w:rFonts w:hint="eastAsia" w:ascii="宋体" w:hAnsi="宋体"/>
                <w:szCs w:val="21"/>
                <w:highlight w:val="none"/>
                <w:lang w:val="en-US" w:eastAsia="zh-CN"/>
              </w:rPr>
              <w:t>设计费</w:t>
            </w:r>
            <w:r>
              <w:rPr>
                <w:rFonts w:hint="eastAsia" w:ascii="宋体" w:hAnsi="宋体" w:eastAsia="宋体" w:cs="宋体"/>
                <w:color w:val="auto"/>
                <w:kern w:val="0"/>
                <w:szCs w:val="21"/>
                <w:highlight w:val="none"/>
                <w:lang w:eastAsia="zh-CN"/>
              </w:rPr>
              <w:t>投标报价的得分为：</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13000</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12000</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12</w:t>
            </w:r>
            <w:r>
              <w:rPr>
                <w:rFonts w:hint="eastAsia" w:ascii="宋体" w:hAnsi="宋体" w:eastAsia="宋体" w:cs="宋体"/>
                <w:color w:val="auto"/>
                <w:kern w:val="0"/>
                <w:szCs w:val="21"/>
                <w:highlight w:val="none"/>
                <w:lang w:val="en-US" w:eastAsia="zh-CN"/>
              </w:rPr>
              <w:t>000*100*0.2</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3.33</w:t>
            </w:r>
            <w:r>
              <w:rPr>
                <w:rFonts w:hint="eastAsia" w:ascii="宋体" w:hAnsi="宋体" w:eastAsia="宋体" w:cs="宋体"/>
                <w:color w:val="auto"/>
                <w:kern w:val="0"/>
                <w:szCs w:val="21"/>
                <w:highlight w:val="none"/>
                <w:lang w:eastAsia="zh-CN"/>
              </w:rPr>
              <w:t>分</w:t>
            </w:r>
          </w:p>
          <w:p w14:paraId="43E9B61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ascii="宋体" w:hAnsi="宋体"/>
                <w:szCs w:val="21"/>
                <w:highlight w:val="none"/>
                <w:lang w:val="en-US" w:eastAsia="zh-CN"/>
              </w:rPr>
              <w:t>3、工程费报价中固定费率报价最低报价为样板间工程费报价评标基准价，得满55分，其它工程费固定费率报价与评标基准价相比，每增加1%扣0.2分，扣完为止。</w:t>
            </w:r>
          </w:p>
          <w:p w14:paraId="4F88FF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Calibri" w:hAnsi="Calibri" w:eastAsia="宋体" w:cs="Calibri"/>
                <w:color w:val="auto"/>
                <w:kern w:val="0"/>
                <w:szCs w:val="21"/>
                <w:highlight w:val="none"/>
                <w:lang w:val="en-US" w:eastAsia="zh-CN"/>
              </w:rPr>
              <w:t>例如：</w:t>
            </w:r>
            <w:r>
              <w:rPr>
                <w:rFonts w:hint="eastAsia" w:ascii="宋体" w:hAnsi="宋体" w:eastAsia="宋体" w:cs="宋体"/>
                <w:color w:val="auto"/>
                <w:kern w:val="0"/>
                <w:szCs w:val="21"/>
                <w:highlight w:val="none"/>
                <w:lang w:eastAsia="zh-CN"/>
              </w:rPr>
              <w:t>A</w:t>
            </w:r>
            <w:r>
              <w:rPr>
                <w:rFonts w:hint="eastAsia" w:ascii="宋体" w:hAnsi="宋体" w:cs="宋体"/>
                <w:color w:val="auto"/>
                <w:kern w:val="0"/>
                <w:szCs w:val="21"/>
                <w:highlight w:val="none"/>
                <w:lang w:eastAsia="zh-CN"/>
              </w:rPr>
              <w:t>参选人</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lang w:val="en-US" w:eastAsia="zh-CN"/>
              </w:rPr>
              <w:t>工程费</w:t>
            </w:r>
            <w:r>
              <w:rPr>
                <w:rFonts w:hint="eastAsia" w:ascii="宋体" w:hAnsi="宋体" w:eastAsia="宋体" w:cs="宋体"/>
                <w:color w:val="auto"/>
                <w:kern w:val="0"/>
                <w:szCs w:val="21"/>
                <w:highlight w:val="none"/>
                <w:lang w:eastAsia="zh-CN"/>
              </w:rPr>
              <w:t>报价为</w:t>
            </w:r>
            <w:r>
              <w:rPr>
                <w:rFonts w:hint="eastAsia" w:ascii="宋体" w:hAnsi="宋体" w:cs="宋体"/>
                <w:color w:val="auto"/>
                <w:kern w:val="0"/>
                <w:szCs w:val="21"/>
                <w:highlight w:val="none"/>
                <w:lang w:val="en-US" w:eastAsia="zh-CN"/>
              </w:rPr>
              <w:t>固定费率90</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，最低投标报价</w:t>
            </w:r>
            <w:r>
              <w:rPr>
                <w:rFonts w:hint="eastAsia" w:ascii="宋体" w:hAnsi="宋体" w:eastAsia="宋体" w:cs="宋体"/>
                <w:color w:val="auto"/>
                <w:kern w:val="0"/>
                <w:szCs w:val="21"/>
                <w:highlight w:val="none"/>
                <w:lang w:val="en-US" w:eastAsia="zh-CN"/>
              </w:rPr>
              <w:t>为</w:t>
            </w:r>
            <w:r>
              <w:rPr>
                <w:rFonts w:hint="eastAsia" w:ascii="宋体" w:hAnsi="宋体" w:cs="宋体"/>
                <w:color w:val="auto"/>
                <w:kern w:val="0"/>
                <w:szCs w:val="21"/>
                <w:highlight w:val="none"/>
                <w:lang w:val="en-US" w:eastAsia="zh-CN"/>
              </w:rPr>
              <w:t>固定费率85</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，则A</w:t>
            </w:r>
            <w:r>
              <w:rPr>
                <w:rFonts w:hint="eastAsia" w:ascii="宋体" w:hAnsi="宋体" w:cs="宋体"/>
                <w:color w:val="auto"/>
                <w:kern w:val="0"/>
                <w:szCs w:val="21"/>
                <w:highlight w:val="none"/>
                <w:lang w:eastAsia="zh-CN"/>
              </w:rPr>
              <w:t>参选人</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lang w:val="en-US" w:eastAsia="zh-CN"/>
              </w:rPr>
              <w:t>工程费</w:t>
            </w:r>
            <w:r>
              <w:rPr>
                <w:rFonts w:hint="eastAsia" w:ascii="宋体" w:hAnsi="宋体" w:eastAsia="宋体" w:cs="宋体"/>
                <w:color w:val="auto"/>
                <w:kern w:val="0"/>
                <w:szCs w:val="21"/>
                <w:highlight w:val="none"/>
                <w:lang w:eastAsia="zh-CN"/>
              </w:rPr>
              <w:t>投标报价的得分为：</w:t>
            </w:r>
            <w:r>
              <w:rPr>
                <w:rFonts w:hint="eastAsia" w:ascii="宋体" w:hAnsi="宋体" w:cs="宋体"/>
                <w:color w:val="auto"/>
                <w:kern w:val="0"/>
                <w:szCs w:val="21"/>
                <w:highlight w:val="none"/>
                <w:lang w:val="en-US" w:eastAsia="zh-CN"/>
              </w:rPr>
              <w:t>55</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90</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8</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w:t>
            </w:r>
            <w:r>
              <w:rPr>
                <w:rFonts w:hint="eastAsia" w:ascii="Calibri" w:hAnsi="Calibri" w:cs="Calibri"/>
                <w:color w:val="auto"/>
                <w:kern w:val="0"/>
                <w:szCs w:val="21"/>
                <w:highlight w:val="none"/>
                <w:lang w:eastAsia="zh-CN"/>
              </w:rPr>
              <w:t>）</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8</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*100*0.2</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53.82</w:t>
            </w:r>
            <w:r>
              <w:rPr>
                <w:rFonts w:hint="eastAsia" w:ascii="宋体" w:hAnsi="宋体" w:eastAsia="宋体" w:cs="宋体"/>
                <w:color w:val="auto"/>
                <w:kern w:val="0"/>
                <w:szCs w:val="21"/>
                <w:highlight w:val="none"/>
                <w:lang w:eastAsia="zh-CN"/>
              </w:rPr>
              <w:t>分</w:t>
            </w:r>
          </w:p>
          <w:p w14:paraId="3BEA4B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投标报价评分</w:t>
            </w:r>
            <w:r>
              <w:rPr>
                <w:rFonts w:hint="eastAsia" w:ascii="宋体" w:hAnsi="宋体" w:eastAsia="宋体" w:cs="宋体"/>
                <w:color w:val="auto"/>
                <w:kern w:val="0"/>
                <w:szCs w:val="21"/>
                <w:highlight w:val="none"/>
                <w:lang w:val="en-US" w:eastAsia="zh-CN"/>
              </w:rPr>
              <w:t>=设计费报价得分+工程费报价得分。</w:t>
            </w:r>
          </w:p>
          <w:p w14:paraId="72343D8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eastAsia="宋体" w:cs="宋体"/>
                <w:color w:val="auto"/>
                <w:kern w:val="0"/>
                <w:szCs w:val="21"/>
                <w:highlight w:val="none"/>
                <w:lang w:eastAsia="zh-CN"/>
              </w:rPr>
              <w:t>结果取小数点后两位，</w:t>
            </w:r>
            <w:r>
              <w:rPr>
                <w:rFonts w:hint="eastAsia" w:ascii="宋体" w:hAnsi="宋体" w:cs="宋体"/>
                <w:color w:val="auto"/>
                <w:kern w:val="0"/>
                <w:szCs w:val="21"/>
                <w:highlight w:val="none"/>
                <w:lang w:val="en-US" w:eastAsia="zh-CN"/>
              </w:rPr>
              <w:t>根据</w:t>
            </w:r>
            <w:r>
              <w:rPr>
                <w:rFonts w:hint="eastAsia" w:ascii="宋体" w:hAnsi="宋体" w:eastAsia="宋体" w:cs="宋体"/>
                <w:color w:val="auto"/>
                <w:kern w:val="0"/>
                <w:szCs w:val="21"/>
                <w:highlight w:val="none"/>
                <w:lang w:eastAsia="zh-CN"/>
              </w:rPr>
              <w:t>第三位四舍五入。</w:t>
            </w:r>
          </w:p>
        </w:tc>
      </w:tr>
      <w:tr w14:paraId="07CD3F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86" w:type="dxa"/>
            <w:gridSpan w:val="2"/>
            <w:noWrap w:val="0"/>
            <w:vAlign w:val="center"/>
          </w:tcPr>
          <w:p w14:paraId="579600E7">
            <w:pPr>
              <w:keepNext w:val="0"/>
              <w:keepLines w:val="0"/>
              <w:pageBreakBefore w:val="0"/>
              <w:kinsoku/>
              <w:wordWrap/>
              <w:overflowPunct/>
              <w:topLinePunct w:val="0"/>
              <w:bidi w:val="0"/>
              <w:adjustRightInd/>
              <w:snapToGrid/>
              <w:spacing w:line="400" w:lineRule="exact"/>
              <w:ind w:firstLine="18" w:firstLineChars="9"/>
              <w:jc w:val="center"/>
              <w:textAlignment w:val="auto"/>
              <w:rPr>
                <w:rFonts w:ascii="宋体" w:hAnsi="宋体"/>
                <w:szCs w:val="21"/>
                <w:highlight w:val="none"/>
              </w:rPr>
            </w:pPr>
            <w:r>
              <w:rPr>
                <w:rFonts w:ascii="宋体" w:hAnsi="宋体"/>
                <w:szCs w:val="21"/>
                <w:highlight w:val="none"/>
              </w:rPr>
              <w:t>3.2.3</w:t>
            </w:r>
          </w:p>
        </w:tc>
        <w:tc>
          <w:tcPr>
            <w:tcW w:w="1690" w:type="dxa"/>
            <w:noWrap w:val="0"/>
            <w:vAlign w:val="center"/>
          </w:tcPr>
          <w:p w14:paraId="777ED1CA">
            <w:pPr>
              <w:keepNext w:val="0"/>
              <w:keepLines w:val="0"/>
              <w:pageBreakBefore w:val="0"/>
              <w:kinsoku/>
              <w:wordWrap/>
              <w:overflowPunct/>
              <w:topLinePunct w:val="0"/>
              <w:bidi w:val="0"/>
              <w:adjustRightInd/>
              <w:snapToGrid/>
              <w:spacing w:line="400" w:lineRule="exact"/>
              <w:ind w:firstLine="18" w:firstLineChars="9"/>
              <w:jc w:val="center"/>
              <w:textAlignment w:val="auto"/>
              <w:rPr>
                <w:rFonts w:ascii="宋体" w:hAnsi="宋体"/>
                <w:szCs w:val="21"/>
                <w:highlight w:val="none"/>
              </w:rPr>
            </w:pPr>
            <w:r>
              <w:rPr>
                <w:rFonts w:ascii="宋体" w:hAnsi="宋体"/>
                <w:szCs w:val="21"/>
                <w:highlight w:val="none"/>
              </w:rPr>
              <w:t>参选人</w:t>
            </w:r>
            <w:r>
              <w:rPr>
                <w:rFonts w:hint="eastAsia" w:ascii="宋体" w:hAnsi="宋体"/>
                <w:szCs w:val="21"/>
                <w:highlight w:val="none"/>
              </w:rPr>
              <w:t>总</w:t>
            </w:r>
            <w:r>
              <w:rPr>
                <w:rFonts w:ascii="宋体" w:hAnsi="宋体"/>
                <w:szCs w:val="21"/>
                <w:highlight w:val="none"/>
              </w:rPr>
              <w:t>得分</w:t>
            </w:r>
          </w:p>
        </w:tc>
        <w:tc>
          <w:tcPr>
            <w:tcW w:w="5794" w:type="dxa"/>
            <w:noWrap w:val="0"/>
            <w:vAlign w:val="center"/>
          </w:tcPr>
          <w:p w14:paraId="0B22C8A2">
            <w:pPr>
              <w:keepNext w:val="0"/>
              <w:keepLines w:val="0"/>
              <w:pageBreakBefore w:val="0"/>
              <w:kinsoku/>
              <w:wordWrap/>
              <w:overflowPunct/>
              <w:topLinePunct w:val="0"/>
              <w:bidi w:val="0"/>
              <w:adjustRightInd/>
              <w:snapToGrid/>
              <w:spacing w:line="400" w:lineRule="exact"/>
              <w:jc w:val="center"/>
              <w:textAlignment w:val="auto"/>
              <w:rPr>
                <w:rFonts w:ascii="宋体" w:hAnsi="宋体"/>
                <w:szCs w:val="21"/>
                <w:highlight w:val="none"/>
                <w:u w:val="single"/>
              </w:rPr>
            </w:pPr>
            <w:r>
              <w:rPr>
                <w:rFonts w:ascii="宋体" w:hAnsi="宋体"/>
                <w:szCs w:val="21"/>
                <w:highlight w:val="none"/>
                <w:u w:val="single"/>
              </w:rPr>
              <w:t>参选人</w:t>
            </w:r>
            <w:r>
              <w:rPr>
                <w:rFonts w:hint="eastAsia" w:ascii="宋体" w:hAnsi="宋体"/>
                <w:szCs w:val="21"/>
                <w:highlight w:val="none"/>
                <w:u w:val="single"/>
              </w:rPr>
              <w:t>总</w:t>
            </w:r>
            <w:r>
              <w:rPr>
                <w:rFonts w:ascii="宋体" w:hAnsi="宋体"/>
                <w:szCs w:val="21"/>
                <w:highlight w:val="none"/>
                <w:u w:val="single"/>
              </w:rPr>
              <w:t>得分=A+B+</w:t>
            </w:r>
            <w:r>
              <w:rPr>
                <w:rFonts w:hint="eastAsia" w:ascii="宋体" w:hAnsi="宋体"/>
                <w:szCs w:val="21"/>
                <w:highlight w:val="none"/>
                <w:u w:val="single"/>
              </w:rPr>
              <w:t>C</w:t>
            </w:r>
          </w:p>
        </w:tc>
      </w:tr>
      <w:tr w14:paraId="7D48EC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676" w:type="dxa"/>
            <w:gridSpan w:val="3"/>
            <w:noWrap w:val="0"/>
            <w:vAlign w:val="center"/>
          </w:tcPr>
          <w:p w14:paraId="3F6EA0FC">
            <w:pPr>
              <w:keepNext w:val="0"/>
              <w:keepLines w:val="0"/>
              <w:pageBreakBefore w:val="0"/>
              <w:kinsoku/>
              <w:wordWrap/>
              <w:overflowPunct/>
              <w:topLinePunct w:val="0"/>
              <w:bidi w:val="0"/>
              <w:adjustRightInd/>
              <w:snapToGrid/>
              <w:spacing w:line="400" w:lineRule="exact"/>
              <w:ind w:firstLine="18" w:firstLineChars="9"/>
              <w:jc w:val="center"/>
              <w:textAlignment w:val="auto"/>
              <w:rPr>
                <w:rFonts w:ascii="宋体" w:hAnsi="宋体"/>
                <w:szCs w:val="21"/>
                <w:highlight w:val="none"/>
              </w:rPr>
            </w:pPr>
            <w:r>
              <w:rPr>
                <w:rFonts w:hint="eastAsia" w:ascii="宋体" w:hAnsi="宋体"/>
                <w:szCs w:val="21"/>
                <w:highlight w:val="none"/>
              </w:rPr>
              <w:t>定标原则</w:t>
            </w:r>
          </w:p>
        </w:tc>
        <w:tc>
          <w:tcPr>
            <w:tcW w:w="5794" w:type="dxa"/>
            <w:noWrap w:val="0"/>
            <w:vAlign w:val="center"/>
          </w:tcPr>
          <w:p w14:paraId="3A05FA46">
            <w:pPr>
              <w:keepNext w:val="0"/>
              <w:keepLines w:val="0"/>
              <w:pageBreakBefore w:val="0"/>
              <w:kinsoku/>
              <w:wordWrap/>
              <w:overflowPunct/>
              <w:topLinePunct w:val="0"/>
              <w:bidi w:val="0"/>
              <w:adjustRightInd/>
              <w:snapToGrid/>
              <w:spacing w:line="400" w:lineRule="exact"/>
              <w:ind w:firstLine="420" w:firstLineChars="200"/>
              <w:jc w:val="left"/>
              <w:textAlignment w:val="auto"/>
              <w:rPr>
                <w:highlight w:val="none"/>
              </w:rPr>
            </w:pPr>
            <w:r>
              <w:rPr>
                <w:rFonts w:hint="eastAsia"/>
                <w:highlight w:val="none"/>
              </w:rPr>
              <w:t>1、公开比选委员会根据各参选人的综合得分从高到低依次排定比选名次。</w:t>
            </w:r>
            <w:r>
              <w:rPr>
                <w:highlight w:val="none"/>
              </w:rPr>
              <w:t>综合评分相等时，以</w:t>
            </w:r>
            <w:r>
              <w:rPr>
                <w:rFonts w:hint="eastAsia"/>
                <w:highlight w:val="none"/>
              </w:rPr>
              <w:t>技术方案得分高</w:t>
            </w:r>
            <w:r>
              <w:rPr>
                <w:highlight w:val="none"/>
              </w:rPr>
              <w:t>的优先；</w:t>
            </w:r>
            <w:r>
              <w:rPr>
                <w:rFonts w:hint="eastAsia"/>
                <w:highlight w:val="none"/>
              </w:rPr>
              <w:t>技术方案得分相等的，以</w:t>
            </w:r>
            <w:r>
              <w:rPr>
                <w:highlight w:val="none"/>
              </w:rPr>
              <w:t>参选报价</w:t>
            </w:r>
            <w:r>
              <w:rPr>
                <w:rFonts w:hint="eastAsia"/>
                <w:highlight w:val="none"/>
              </w:rPr>
              <w:t>得分高的优先；技术方案和报价均相等的，由公开比选委员会抽签确定。</w:t>
            </w:r>
          </w:p>
          <w:p w14:paraId="67116B55">
            <w:pPr>
              <w:keepNext w:val="0"/>
              <w:keepLines w:val="0"/>
              <w:pageBreakBefore w:val="0"/>
              <w:kinsoku/>
              <w:wordWrap/>
              <w:overflowPunct/>
              <w:topLinePunct w:val="0"/>
              <w:bidi w:val="0"/>
              <w:adjustRightInd/>
              <w:snapToGrid/>
              <w:spacing w:line="400" w:lineRule="exact"/>
              <w:ind w:firstLine="420" w:firstLineChars="200"/>
              <w:jc w:val="left"/>
              <w:textAlignment w:val="auto"/>
              <w:rPr>
                <w:rFonts w:ascii="宋体" w:hAnsi="宋体"/>
                <w:szCs w:val="21"/>
                <w:highlight w:val="none"/>
                <w:u w:val="single"/>
              </w:rPr>
            </w:pPr>
            <w:r>
              <w:rPr>
                <w:rFonts w:hint="eastAsia"/>
                <w:highlight w:val="none"/>
              </w:rPr>
              <w:t>2、对本次比选排名进行公示，在经公示无异议、投诉，且无违反比选文件规定的前提下，比选人应当确定排名第一的参选人为中选候选人。中选候选人放弃中选、因不可抗力不能履行合同、或者被查实存在影响中选结果的违法行为，或者不接受比选人在合同谈判时提出的商务条件等情形，不符合中选条件的，比选人可以按照公开比选委员会排定的比选名次依次确定其他参选人为中选候选人，最终确定中选人。</w:t>
            </w:r>
          </w:p>
        </w:tc>
      </w:tr>
    </w:tbl>
    <w:p w14:paraId="658A5156">
      <w:pPr>
        <w:rPr>
          <w:rFonts w:hint="eastAsia" w:ascii="宋体" w:hAnsi="宋体"/>
          <w:highlight w:val="none"/>
        </w:rPr>
      </w:pPr>
      <w:r>
        <w:rPr>
          <w:rFonts w:hint="eastAsia" w:ascii="宋体" w:hAnsi="宋体"/>
          <w:highlight w:val="none"/>
        </w:rPr>
        <w:br w:type="page"/>
      </w:r>
    </w:p>
    <w:p w14:paraId="0E463E97">
      <w:pPr>
        <w:pStyle w:val="3"/>
        <w:spacing w:before="0" w:after="0" w:line="360" w:lineRule="auto"/>
        <w:jc w:val="center"/>
        <w:rPr>
          <w:rFonts w:ascii="宋体" w:hAnsi="宋体"/>
          <w:highlight w:val="none"/>
        </w:rPr>
      </w:pPr>
      <w:r>
        <w:rPr>
          <w:rFonts w:hint="eastAsia" w:ascii="宋体" w:hAnsi="宋体"/>
          <w:highlight w:val="none"/>
        </w:rPr>
        <w:t>第四章  合同主要条款</w:t>
      </w:r>
    </w:p>
    <w:p w14:paraId="54A759BB">
      <w:pPr>
        <w:jc w:val="center"/>
        <w:rPr>
          <w:highlight w:val="none"/>
        </w:rPr>
      </w:pPr>
      <w:r>
        <w:rPr>
          <w:rFonts w:hint="eastAsia"/>
          <w:highlight w:val="none"/>
        </w:rPr>
        <w:t>（中选的合作机构按照相同的合同条款签订合同）</w:t>
      </w:r>
    </w:p>
    <w:p w14:paraId="5990EAF0">
      <w:pPr>
        <w:keepNext w:val="0"/>
        <w:keepLines w:val="0"/>
        <w:pageBreakBefore w:val="0"/>
        <w:kinsoku/>
        <w:wordWrap/>
        <w:overflowPunct/>
        <w:topLinePunct w:val="0"/>
        <w:autoSpaceDE/>
        <w:autoSpaceDN/>
        <w:bidi w:val="0"/>
        <w:adjustRightInd/>
        <w:snapToGrid/>
        <w:spacing w:line="400" w:lineRule="exact"/>
        <w:ind w:left="141" w:leftChars="0" w:hanging="141" w:hangingChars="50"/>
        <w:textAlignment w:val="auto"/>
        <w:rPr>
          <w:rFonts w:hint="eastAsia" w:ascii="宋体" w:hAnsi="宋体"/>
          <w:b/>
          <w:bCs/>
          <w:color w:val="000000"/>
          <w:sz w:val="28"/>
          <w:szCs w:val="28"/>
          <w:highlight w:val="none"/>
        </w:rPr>
      </w:pPr>
    </w:p>
    <w:p w14:paraId="78C3DB72">
      <w:pPr>
        <w:keepNext w:val="0"/>
        <w:keepLines w:val="0"/>
        <w:pageBreakBefore w:val="0"/>
        <w:kinsoku/>
        <w:wordWrap/>
        <w:overflowPunct/>
        <w:topLinePunct w:val="0"/>
        <w:autoSpaceDE/>
        <w:autoSpaceDN/>
        <w:bidi w:val="0"/>
        <w:adjustRightInd/>
        <w:snapToGrid/>
        <w:spacing w:line="400" w:lineRule="exact"/>
        <w:ind w:left="141" w:leftChars="0" w:hanging="141" w:hangingChars="50"/>
        <w:textAlignment w:val="auto"/>
        <w:rPr>
          <w:rFonts w:hint="eastAsia" w:ascii="宋体" w:hAnsi="宋体"/>
          <w:b/>
          <w:bCs/>
          <w:color w:val="000000"/>
          <w:sz w:val="28"/>
          <w:szCs w:val="28"/>
          <w:highlight w:val="none"/>
        </w:rPr>
      </w:pPr>
    </w:p>
    <w:p w14:paraId="57CA075B">
      <w:pPr>
        <w:keepNext w:val="0"/>
        <w:keepLines w:val="0"/>
        <w:pageBreakBefore w:val="0"/>
        <w:kinsoku/>
        <w:wordWrap/>
        <w:overflowPunct/>
        <w:topLinePunct w:val="0"/>
        <w:autoSpaceDE/>
        <w:autoSpaceDN/>
        <w:bidi w:val="0"/>
        <w:adjustRightInd/>
        <w:snapToGrid/>
        <w:spacing w:line="400" w:lineRule="exact"/>
        <w:ind w:left="141" w:leftChars="0" w:hanging="141" w:hangingChars="50"/>
        <w:textAlignment w:val="auto"/>
        <w:outlineLvl w:val="1"/>
        <w:rPr>
          <w:rFonts w:ascii="宋体" w:hAnsi="宋体"/>
          <w:b/>
          <w:bCs/>
          <w:color w:val="000000"/>
          <w:sz w:val="28"/>
          <w:szCs w:val="28"/>
          <w:highlight w:val="none"/>
        </w:rPr>
      </w:pPr>
      <w:r>
        <w:rPr>
          <w:rFonts w:hint="eastAsia" w:ascii="宋体" w:hAnsi="宋体"/>
          <w:b/>
          <w:bCs/>
          <w:color w:val="000000"/>
          <w:sz w:val="28"/>
          <w:szCs w:val="28"/>
          <w:highlight w:val="none"/>
        </w:rPr>
        <w:t>甲方：比选人</w:t>
      </w:r>
    </w:p>
    <w:p w14:paraId="508F52A3">
      <w:pPr>
        <w:keepNext w:val="0"/>
        <w:keepLines w:val="0"/>
        <w:pageBreakBefore w:val="0"/>
        <w:kinsoku/>
        <w:wordWrap/>
        <w:overflowPunct/>
        <w:topLinePunct w:val="0"/>
        <w:autoSpaceDE/>
        <w:autoSpaceDN/>
        <w:bidi w:val="0"/>
        <w:adjustRightInd/>
        <w:snapToGrid/>
        <w:spacing w:line="400" w:lineRule="exact"/>
        <w:ind w:left="141" w:leftChars="0" w:hanging="141" w:hangingChars="50"/>
        <w:textAlignment w:val="auto"/>
        <w:outlineLvl w:val="1"/>
        <w:rPr>
          <w:rFonts w:ascii="宋体" w:hAnsi="宋体"/>
          <w:color w:val="000000"/>
          <w:szCs w:val="21"/>
          <w:highlight w:val="none"/>
        </w:rPr>
      </w:pPr>
      <w:r>
        <w:rPr>
          <w:rFonts w:hint="eastAsia" w:ascii="宋体" w:hAnsi="宋体"/>
          <w:b/>
          <w:bCs/>
          <w:color w:val="000000"/>
          <w:sz w:val="28"/>
          <w:szCs w:val="28"/>
          <w:highlight w:val="none"/>
        </w:rPr>
        <w:t>乙方：中选人</w:t>
      </w:r>
    </w:p>
    <w:p w14:paraId="3BD12D7A">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宋体" w:hAnsi="宋体"/>
          <w:b/>
          <w:bCs/>
          <w:snapToGrid w:val="0"/>
          <w:sz w:val="28"/>
          <w:szCs w:val="28"/>
          <w:highlight w:val="none"/>
        </w:rPr>
      </w:pPr>
    </w:p>
    <w:p w14:paraId="2203F558">
      <w:pPr>
        <w:keepNext w:val="0"/>
        <w:keepLines w:val="0"/>
        <w:pageBreakBefore w:val="0"/>
        <w:kinsoku/>
        <w:wordWrap/>
        <w:overflowPunct/>
        <w:topLinePunct w:val="0"/>
        <w:autoSpaceDE/>
        <w:autoSpaceDN/>
        <w:bidi w:val="0"/>
        <w:adjustRightInd/>
        <w:snapToGrid/>
        <w:spacing w:line="400" w:lineRule="exact"/>
        <w:ind w:left="0" w:leftChars="0"/>
        <w:textAlignment w:val="auto"/>
        <w:outlineLvl w:val="1"/>
        <w:rPr>
          <w:rFonts w:ascii="宋体" w:hAnsi="宋体"/>
          <w:b/>
          <w:bCs/>
          <w:snapToGrid w:val="0"/>
          <w:sz w:val="28"/>
          <w:szCs w:val="28"/>
          <w:highlight w:val="none"/>
        </w:rPr>
      </w:pPr>
      <w:r>
        <w:rPr>
          <w:rFonts w:hint="eastAsia" w:ascii="宋体" w:hAnsi="宋体"/>
          <w:b/>
          <w:bCs/>
          <w:snapToGrid w:val="0"/>
          <w:sz w:val="28"/>
          <w:szCs w:val="28"/>
          <w:highlight w:val="none"/>
        </w:rPr>
        <w:t>1.</w:t>
      </w:r>
      <w:r>
        <w:rPr>
          <w:rFonts w:hint="eastAsia" w:ascii="宋体" w:hAnsi="宋体"/>
          <w:b/>
          <w:bCs/>
          <w:snapToGrid w:val="0"/>
          <w:sz w:val="28"/>
          <w:szCs w:val="28"/>
          <w:highlight w:val="none"/>
          <w:lang w:val="en-US" w:eastAsia="zh-CN"/>
        </w:rPr>
        <w:t>服务内容</w:t>
      </w:r>
      <w:r>
        <w:rPr>
          <w:rFonts w:hint="eastAsia" w:ascii="宋体" w:hAnsi="宋体"/>
          <w:b/>
          <w:bCs/>
          <w:snapToGrid w:val="0"/>
          <w:sz w:val="28"/>
          <w:szCs w:val="28"/>
          <w:highlight w:val="none"/>
        </w:rPr>
        <w:t>：</w:t>
      </w:r>
    </w:p>
    <w:p w14:paraId="7BAEFDE2">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主要包括准备阶段，设计阶段，施工阶段，具体范围为：</w:t>
      </w:r>
    </w:p>
    <w:p w14:paraId="661D13B8">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（1）准备阶段工作内容</w:t>
      </w:r>
    </w:p>
    <w:p w14:paraId="230C9B7C">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本项目的前期现场勘察（测绘、摸底），包括但不限于对设计所涉区域的原始资料搜集（阿依河景区岩头坝区域地形图、阿依河景区相关楼栋竣工图等）、必要的现状补充测绘、评估等。</w:t>
      </w:r>
    </w:p>
    <w:p w14:paraId="415795DF">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（2）设计阶段工作内容</w:t>
      </w:r>
    </w:p>
    <w:p w14:paraId="66D57A66">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根据比选人指定的本次</w:t>
      </w:r>
      <w:r>
        <w:rPr>
          <w:rFonts w:hint="eastAsia" w:ascii="宋体" w:hAnsi="宋体" w:cs="Times New Roman"/>
          <w:snapToGrid w:val="0"/>
          <w:kern w:val="0"/>
          <w:szCs w:val="21"/>
          <w:highlight w:val="none"/>
          <w:u w:val="single"/>
          <w:lang w:val="en-US" w:eastAsia="zh-CN"/>
        </w:rPr>
        <w:t>阿依河景区重要节点艺术装置及展陈提升</w:t>
      </w:r>
      <w:r>
        <w:rPr>
          <w:rFonts w:hint="eastAsia" w:ascii="宋体" w:hAnsi="宋体"/>
          <w:snapToGrid w:val="0"/>
          <w:kern w:val="0"/>
          <w:szCs w:val="21"/>
          <w:highlight w:val="none"/>
          <w:u w:val="single"/>
          <w:lang w:val="en-US" w:eastAsia="zh-CN"/>
        </w:rPr>
        <w:t>所涉及的范围完成设计，同时编制工程预算清单，并报比选人审批。设计成果应包含效果图展示、重要装置（节点装置、展陈装置）大样设计等内容，设计深度应达到编制工程预算清单深度。</w:t>
      </w:r>
    </w:p>
    <w:p w14:paraId="0679FA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u w:val="single"/>
          <w:lang w:val="en-US" w:eastAsia="zh-CN"/>
        </w:rPr>
      </w:pPr>
      <w:r>
        <w:rPr>
          <w:rFonts w:hint="eastAsia" w:ascii="宋体" w:hAnsi="宋体" w:eastAsia="宋体" w:cs="宋体"/>
          <w:u w:val="single"/>
        </w:rPr>
        <w:t>融合彭水苗族民俗文化打造夜游沉浸式实景演艺空间</w:t>
      </w:r>
      <w:r>
        <w:rPr>
          <w:rFonts w:hint="eastAsia" w:ascii="宋体" w:hAnsi="宋体" w:cs="宋体"/>
          <w:u w:val="single"/>
          <w:lang w:eastAsia="zh-CN"/>
        </w:rPr>
        <w:t>，</w:t>
      </w:r>
      <w:r>
        <w:rPr>
          <w:rFonts w:hint="eastAsia" w:ascii="宋体" w:hAnsi="宋体" w:cs="宋体"/>
          <w:u w:val="single"/>
          <w:lang w:val="en-US" w:eastAsia="zh-CN"/>
        </w:rPr>
        <w:t>配合沉浸式演艺场景中的演出呈现、场景调度，以及夜景灯饰、声光电等要素展现，对阿依河景区岩头坝区域的部分重要展陈景观节点进行改造升级，内容包括但不限于：设置</w:t>
      </w:r>
      <w:r>
        <w:rPr>
          <w:rFonts w:hint="eastAsia" w:ascii="宋体" w:hAnsi="宋体" w:eastAsia="宋体" w:cs="宋体"/>
          <w:u w:val="single"/>
          <w:lang w:val="en-US" w:eastAsia="zh-CN"/>
        </w:rPr>
        <w:t>大型机械装置（数控+机械体外延立体装饰+大型仿真道具+移动灯光）</w:t>
      </w:r>
      <w:r>
        <w:rPr>
          <w:rFonts w:hint="eastAsia" w:ascii="宋体" w:hAnsi="宋体" w:cs="宋体"/>
          <w:u w:val="single"/>
          <w:lang w:val="en-US" w:eastAsia="zh-CN"/>
        </w:rPr>
        <w:t>；</w:t>
      </w:r>
      <w:r>
        <w:rPr>
          <w:rFonts w:hint="eastAsia" w:ascii="宋体" w:hAnsi="宋体" w:eastAsia="宋体" w:cs="宋体"/>
          <w:u w:val="single"/>
          <w:lang w:val="en-US" w:eastAsia="zh-CN"/>
        </w:rPr>
        <w:t>改造现有建筑外观及窗户</w:t>
      </w:r>
      <w:r>
        <w:rPr>
          <w:rFonts w:hint="eastAsia" w:ascii="宋体" w:hAnsi="宋体" w:cs="宋体"/>
          <w:u w:val="single"/>
          <w:lang w:val="en-US" w:eastAsia="zh-CN"/>
        </w:rPr>
        <w:t>；设置</w:t>
      </w:r>
      <w:r>
        <w:rPr>
          <w:rFonts w:hint="eastAsia" w:ascii="宋体" w:hAnsi="宋体" w:eastAsia="宋体" w:cs="宋体"/>
          <w:u w:val="single"/>
          <w:lang w:val="en-US" w:eastAsia="zh-CN"/>
        </w:rPr>
        <w:t>多层次具有地域特色舞台及苗族标志性装置，改造绿化带营造景美、人美的自然和谐氛围</w:t>
      </w:r>
      <w:r>
        <w:rPr>
          <w:rFonts w:hint="eastAsia" w:ascii="宋体" w:hAnsi="宋体" w:cs="宋体"/>
          <w:u w:val="single"/>
          <w:lang w:val="en-US" w:eastAsia="zh-CN"/>
        </w:rPr>
        <w:t>；设置</w:t>
      </w:r>
      <w:r>
        <w:rPr>
          <w:rFonts w:hint="eastAsia" w:ascii="宋体" w:hAnsi="宋体" w:eastAsia="宋体" w:cs="宋体"/>
          <w:u w:val="single"/>
          <w:lang w:val="en-US" w:eastAsia="zh-CN"/>
        </w:rPr>
        <w:t>仿真动、植物，动态自发光，营造唯美、静谧氛围</w:t>
      </w:r>
      <w:r>
        <w:rPr>
          <w:rFonts w:hint="eastAsia" w:ascii="宋体" w:hAnsi="宋体" w:cs="宋体"/>
          <w:u w:val="single"/>
          <w:lang w:val="en-US" w:eastAsia="zh-CN"/>
        </w:rPr>
        <w:t>；设置祭台（</w:t>
      </w:r>
      <w:r>
        <w:rPr>
          <w:rFonts w:hint="eastAsia" w:ascii="宋体" w:hAnsi="宋体" w:eastAsia="宋体" w:cs="宋体"/>
          <w:u w:val="single"/>
          <w:lang w:val="en-US" w:eastAsia="zh-CN"/>
        </w:rPr>
        <w:t>具有地域特色、富含苗族古老文化特色的多层次舞台，增加图腾及图腾柱等标志性装置</w:t>
      </w:r>
      <w:r>
        <w:rPr>
          <w:rFonts w:hint="eastAsia" w:ascii="宋体" w:hAnsi="宋体" w:cs="宋体"/>
          <w:u w:val="single"/>
          <w:lang w:val="en-US" w:eastAsia="zh-CN"/>
        </w:rPr>
        <w:t>）；改造现有固定舞台（</w:t>
      </w:r>
      <w:r>
        <w:rPr>
          <w:rFonts w:hint="eastAsia" w:ascii="宋体" w:hAnsi="宋体" w:eastAsia="宋体" w:cs="宋体"/>
          <w:u w:val="single"/>
          <w:lang w:val="en-US" w:eastAsia="zh-CN"/>
        </w:rPr>
        <w:t>增加地域、文化特色的布景装置</w:t>
      </w:r>
      <w:r>
        <w:rPr>
          <w:rFonts w:hint="eastAsia" w:ascii="宋体" w:hAnsi="宋体" w:cs="宋体"/>
          <w:u w:val="single"/>
          <w:lang w:val="en-US" w:eastAsia="zh-CN"/>
        </w:rPr>
        <w:t>）；设置可移动小舞台；对酒店入口处建筑进行复古改造（</w:t>
      </w:r>
      <w:r>
        <w:rPr>
          <w:rFonts w:hint="eastAsia" w:ascii="宋体" w:hAnsi="宋体" w:eastAsia="宋体" w:cs="宋体"/>
          <w:u w:val="single"/>
          <w:lang w:val="en-US" w:eastAsia="zh-CN"/>
        </w:rPr>
        <w:t>增加室外与阁楼连接楼梯、苗族民族元素、全息投影装置</w:t>
      </w:r>
      <w:r>
        <w:rPr>
          <w:rFonts w:hint="eastAsia" w:ascii="宋体" w:hAnsi="宋体" w:cs="宋体"/>
          <w:u w:val="single"/>
          <w:lang w:val="en-US" w:eastAsia="zh-CN"/>
        </w:rPr>
        <w:t>）；设置多层高台瞭望塔（体现</w:t>
      </w:r>
      <w:r>
        <w:rPr>
          <w:rFonts w:hint="eastAsia" w:ascii="宋体" w:hAnsi="宋体" w:eastAsia="宋体" w:cs="宋体"/>
          <w:u w:val="single"/>
          <w:lang w:val="en-US" w:eastAsia="zh-CN"/>
        </w:rPr>
        <w:t>原始</w:t>
      </w:r>
      <w:r>
        <w:rPr>
          <w:rFonts w:hint="eastAsia" w:ascii="宋体" w:hAnsi="宋体" w:cs="宋体"/>
          <w:u w:val="single"/>
          <w:lang w:val="en-US" w:eastAsia="zh-CN"/>
        </w:rPr>
        <w:t>苗乡</w:t>
      </w:r>
      <w:r>
        <w:rPr>
          <w:rFonts w:hint="eastAsia" w:ascii="宋体" w:hAnsi="宋体" w:eastAsia="宋体" w:cs="宋体"/>
          <w:u w:val="single"/>
          <w:lang w:val="en-US" w:eastAsia="zh-CN"/>
        </w:rPr>
        <w:t>风情</w:t>
      </w:r>
      <w:r>
        <w:rPr>
          <w:rFonts w:hint="eastAsia" w:ascii="宋体" w:hAnsi="宋体" w:cs="宋体"/>
          <w:u w:val="single"/>
          <w:lang w:val="en-US" w:eastAsia="zh-CN"/>
        </w:rPr>
        <w:t>）；改造现有篝火广场（打造</w:t>
      </w:r>
      <w:r>
        <w:rPr>
          <w:rFonts w:hint="eastAsia" w:ascii="宋体" w:hAnsi="宋体" w:eastAsia="宋体" w:cs="宋体"/>
          <w:u w:val="single"/>
          <w:lang w:val="en-US" w:eastAsia="zh-CN"/>
        </w:rPr>
        <w:t>具有地域感的多层固定平台</w:t>
      </w:r>
      <w:r>
        <w:rPr>
          <w:rFonts w:hint="eastAsia" w:ascii="宋体" w:hAnsi="宋体" w:cs="宋体"/>
          <w:u w:val="single"/>
          <w:lang w:val="en-US" w:eastAsia="zh-CN"/>
        </w:rPr>
        <w:t>，中心安装升降装置）。对以上内容进行设计，成果应符合比选人审查要求。</w:t>
      </w:r>
    </w:p>
    <w:p w14:paraId="658007C9">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（3）施工阶段工作内容</w:t>
      </w:r>
    </w:p>
    <w:p w14:paraId="15F3DF68">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根据比选人审定的设计图、预算等文件进行样改造施工，内容包括但不限于以下内容：</w:t>
      </w:r>
      <w:r>
        <w:rPr>
          <w:rFonts w:hint="eastAsia" w:ascii="宋体" w:hAnsi="宋体" w:cs="宋体"/>
          <w:u w:val="single"/>
          <w:lang w:val="en-US" w:eastAsia="zh-CN"/>
        </w:rPr>
        <w:t>设置</w:t>
      </w:r>
      <w:r>
        <w:rPr>
          <w:rFonts w:hint="eastAsia" w:ascii="宋体" w:hAnsi="宋体" w:eastAsia="宋体" w:cs="宋体"/>
          <w:u w:val="single"/>
          <w:lang w:val="en-US" w:eastAsia="zh-CN"/>
        </w:rPr>
        <w:t>大型机械装置（数控+机械体外延立体装饰+大型仿真道具+移动灯光）</w:t>
      </w:r>
      <w:r>
        <w:rPr>
          <w:rFonts w:hint="eastAsia" w:ascii="宋体" w:hAnsi="宋体" w:cs="宋体"/>
          <w:u w:val="single"/>
          <w:lang w:val="en-US" w:eastAsia="zh-CN"/>
        </w:rPr>
        <w:t>；</w:t>
      </w:r>
      <w:r>
        <w:rPr>
          <w:rFonts w:hint="eastAsia" w:ascii="宋体" w:hAnsi="宋体" w:eastAsia="宋体" w:cs="宋体"/>
          <w:u w:val="single"/>
          <w:lang w:val="en-US" w:eastAsia="zh-CN"/>
        </w:rPr>
        <w:t>改造现有建筑外观及窗户</w:t>
      </w:r>
      <w:r>
        <w:rPr>
          <w:rFonts w:hint="eastAsia" w:ascii="宋体" w:hAnsi="宋体" w:cs="宋体"/>
          <w:u w:val="single"/>
          <w:lang w:val="en-US" w:eastAsia="zh-CN"/>
        </w:rPr>
        <w:t>；设置</w:t>
      </w:r>
      <w:r>
        <w:rPr>
          <w:rFonts w:hint="eastAsia" w:ascii="宋体" w:hAnsi="宋体" w:eastAsia="宋体" w:cs="宋体"/>
          <w:u w:val="single"/>
          <w:lang w:val="en-US" w:eastAsia="zh-CN"/>
        </w:rPr>
        <w:t>多层次具有地域特色舞台及苗族标志性装置，改造绿化带营造景美、人美的自然和谐氛围</w:t>
      </w:r>
      <w:r>
        <w:rPr>
          <w:rFonts w:hint="eastAsia" w:ascii="宋体" w:hAnsi="宋体" w:cs="宋体"/>
          <w:u w:val="single"/>
          <w:lang w:val="en-US" w:eastAsia="zh-CN"/>
        </w:rPr>
        <w:t>；设置</w:t>
      </w:r>
      <w:r>
        <w:rPr>
          <w:rFonts w:hint="eastAsia" w:ascii="宋体" w:hAnsi="宋体" w:eastAsia="宋体" w:cs="宋体"/>
          <w:u w:val="single"/>
          <w:lang w:val="en-US" w:eastAsia="zh-CN"/>
        </w:rPr>
        <w:t>仿真动、植物，动态自发光，营造唯美、静谧氛围</w:t>
      </w:r>
      <w:r>
        <w:rPr>
          <w:rFonts w:hint="eastAsia" w:ascii="宋体" w:hAnsi="宋体" w:cs="宋体"/>
          <w:u w:val="single"/>
          <w:lang w:val="en-US" w:eastAsia="zh-CN"/>
        </w:rPr>
        <w:t>；设置祭台（</w:t>
      </w:r>
      <w:r>
        <w:rPr>
          <w:rFonts w:hint="eastAsia" w:ascii="宋体" w:hAnsi="宋体" w:eastAsia="宋体" w:cs="宋体"/>
          <w:u w:val="single"/>
          <w:lang w:val="en-US" w:eastAsia="zh-CN"/>
        </w:rPr>
        <w:t>具有地域特色、富含苗族古老文化特色的多层次舞台，增加图腾及图腾柱等标志性装置</w:t>
      </w:r>
      <w:r>
        <w:rPr>
          <w:rFonts w:hint="eastAsia" w:ascii="宋体" w:hAnsi="宋体" w:cs="宋体"/>
          <w:u w:val="single"/>
          <w:lang w:val="en-US" w:eastAsia="zh-CN"/>
        </w:rPr>
        <w:t>）；改造现有固定舞台（</w:t>
      </w:r>
      <w:r>
        <w:rPr>
          <w:rFonts w:hint="eastAsia" w:ascii="宋体" w:hAnsi="宋体" w:eastAsia="宋体" w:cs="宋体"/>
          <w:u w:val="single"/>
          <w:lang w:val="en-US" w:eastAsia="zh-CN"/>
        </w:rPr>
        <w:t>增加地域、文化特色的布景装置</w:t>
      </w:r>
      <w:r>
        <w:rPr>
          <w:rFonts w:hint="eastAsia" w:ascii="宋体" w:hAnsi="宋体" w:cs="宋体"/>
          <w:u w:val="single"/>
          <w:lang w:val="en-US" w:eastAsia="zh-CN"/>
        </w:rPr>
        <w:t>）；设置可移动小舞台；对酒店入口处建筑进行复古改造（</w:t>
      </w:r>
      <w:r>
        <w:rPr>
          <w:rFonts w:hint="eastAsia" w:ascii="宋体" w:hAnsi="宋体" w:eastAsia="宋体" w:cs="宋体"/>
          <w:u w:val="single"/>
          <w:lang w:val="en-US" w:eastAsia="zh-CN"/>
        </w:rPr>
        <w:t>增加室外与阁楼连接楼梯、苗族民族元素、全息投影装置</w:t>
      </w:r>
      <w:r>
        <w:rPr>
          <w:rFonts w:hint="eastAsia" w:ascii="宋体" w:hAnsi="宋体" w:cs="宋体"/>
          <w:u w:val="single"/>
          <w:lang w:val="en-US" w:eastAsia="zh-CN"/>
        </w:rPr>
        <w:t>）；设置多层高台瞭望塔（体现</w:t>
      </w:r>
      <w:r>
        <w:rPr>
          <w:rFonts w:hint="eastAsia" w:ascii="宋体" w:hAnsi="宋体" w:eastAsia="宋体" w:cs="宋体"/>
          <w:u w:val="single"/>
          <w:lang w:val="en-US" w:eastAsia="zh-CN"/>
        </w:rPr>
        <w:t>原始</w:t>
      </w:r>
      <w:r>
        <w:rPr>
          <w:rFonts w:hint="eastAsia" w:ascii="宋体" w:hAnsi="宋体" w:cs="宋体"/>
          <w:u w:val="single"/>
          <w:lang w:val="en-US" w:eastAsia="zh-CN"/>
        </w:rPr>
        <w:t>苗乡</w:t>
      </w:r>
      <w:r>
        <w:rPr>
          <w:rFonts w:hint="eastAsia" w:ascii="宋体" w:hAnsi="宋体" w:eastAsia="宋体" w:cs="宋体"/>
          <w:u w:val="single"/>
          <w:lang w:val="en-US" w:eastAsia="zh-CN"/>
        </w:rPr>
        <w:t>风情</w:t>
      </w:r>
      <w:r>
        <w:rPr>
          <w:rFonts w:hint="eastAsia" w:ascii="宋体" w:hAnsi="宋体" w:cs="宋体"/>
          <w:u w:val="single"/>
          <w:lang w:val="en-US" w:eastAsia="zh-CN"/>
        </w:rPr>
        <w:t>）；改造现有篝火广场（打造</w:t>
      </w:r>
      <w:r>
        <w:rPr>
          <w:rFonts w:hint="eastAsia" w:ascii="宋体" w:hAnsi="宋体" w:eastAsia="宋体" w:cs="宋体"/>
          <w:u w:val="single"/>
          <w:lang w:val="en-US" w:eastAsia="zh-CN"/>
        </w:rPr>
        <w:t>具有地域感的多层固定平台</w:t>
      </w:r>
      <w:r>
        <w:rPr>
          <w:rFonts w:hint="eastAsia" w:ascii="宋体" w:hAnsi="宋体" w:cs="宋体"/>
          <w:u w:val="single"/>
          <w:lang w:val="en-US" w:eastAsia="zh-CN"/>
        </w:rPr>
        <w:t>，中心安装升降装置）。</w:t>
      </w:r>
      <w:r>
        <w:rPr>
          <w:rFonts w:hint="eastAsia" w:ascii="宋体" w:hAnsi="宋体"/>
          <w:snapToGrid w:val="0"/>
          <w:kern w:val="0"/>
          <w:szCs w:val="21"/>
          <w:highlight w:val="none"/>
          <w:u w:val="single"/>
          <w:lang w:val="en-US" w:eastAsia="zh-CN"/>
        </w:rPr>
        <w:t>以及为满足工程施工与经营相配套所需完成的场地准备、临时设施设备等相关工作，包括但不限于临时通道搭设、临时用水、临时用电、临时排水排污、临时开口、原有装饰材料拆除清运（如有）等工作，及为确保安全文明施工的各项保障措施、工作。</w:t>
      </w:r>
    </w:p>
    <w:p w14:paraId="08EE9ED3">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default" w:ascii="宋体" w:hAnsi="宋体" w:eastAsia="宋体"/>
          <w:b/>
          <w:bCs/>
          <w:snapToGrid w:val="0"/>
          <w:kern w:val="0"/>
          <w:szCs w:val="21"/>
          <w:highlight w:val="none"/>
          <w:lang w:val="en-US" w:eastAsia="zh-CN"/>
        </w:rPr>
      </w:pPr>
      <w:r>
        <w:rPr>
          <w:rFonts w:hint="eastAsia" w:ascii="宋体" w:hAnsi="宋体"/>
          <w:b/>
          <w:bCs/>
          <w:snapToGrid w:val="0"/>
          <w:kern w:val="0"/>
          <w:szCs w:val="21"/>
          <w:highlight w:val="none"/>
          <w:lang w:eastAsia="zh-CN"/>
        </w:rPr>
        <w:t>（</w:t>
      </w:r>
      <w:r>
        <w:rPr>
          <w:rFonts w:hint="eastAsia" w:ascii="宋体" w:hAnsi="宋体"/>
          <w:b/>
          <w:bCs/>
          <w:snapToGrid w:val="0"/>
          <w:kern w:val="0"/>
          <w:szCs w:val="21"/>
          <w:highlight w:val="none"/>
          <w:lang w:val="en-US" w:eastAsia="zh-CN"/>
        </w:rPr>
        <w:t>4</w:t>
      </w:r>
      <w:r>
        <w:rPr>
          <w:rFonts w:hint="eastAsia" w:ascii="宋体" w:hAnsi="宋体"/>
          <w:b/>
          <w:bCs/>
          <w:snapToGrid w:val="0"/>
          <w:kern w:val="0"/>
          <w:szCs w:val="21"/>
          <w:highlight w:val="none"/>
          <w:lang w:eastAsia="zh-CN"/>
        </w:rPr>
        <w:t>）</w:t>
      </w:r>
      <w:r>
        <w:rPr>
          <w:rFonts w:hint="eastAsia" w:ascii="宋体" w:hAnsi="宋体"/>
          <w:b/>
          <w:bCs/>
          <w:snapToGrid w:val="0"/>
          <w:kern w:val="0"/>
          <w:szCs w:val="21"/>
          <w:highlight w:val="none"/>
        </w:rPr>
        <w:t>工期要求：</w:t>
      </w:r>
    </w:p>
    <w:p w14:paraId="6E1BEC18">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ascii="宋体" w:hAnsi="宋体"/>
          <w:snapToGrid w:val="0"/>
          <w:kern w:val="0"/>
          <w:szCs w:val="21"/>
          <w:highlight w:val="none"/>
          <w:u w:val="single"/>
        </w:rPr>
      </w:pPr>
      <w:r>
        <w:rPr>
          <w:rFonts w:hint="eastAsia" w:ascii="宋体" w:hAnsi="宋体"/>
          <w:snapToGrid w:val="0"/>
          <w:kern w:val="0"/>
          <w:szCs w:val="21"/>
          <w:highlight w:val="none"/>
          <w:u w:val="single"/>
        </w:rPr>
        <w:t>中选人在收到比选人开展阶段性或单个专业或区域设计工作通知后</w:t>
      </w:r>
      <w:r>
        <w:rPr>
          <w:rFonts w:hint="eastAsia" w:ascii="宋体" w:hAnsi="宋体"/>
          <w:snapToGrid w:val="0"/>
          <w:kern w:val="0"/>
          <w:szCs w:val="21"/>
          <w:highlight w:val="none"/>
          <w:u w:val="single"/>
          <w:lang w:val="en-US" w:eastAsia="zh-CN"/>
        </w:rPr>
        <w:t>1</w:t>
      </w:r>
      <w:r>
        <w:rPr>
          <w:rFonts w:hint="eastAsia" w:ascii="宋体" w:hAnsi="宋体"/>
          <w:snapToGrid w:val="0"/>
          <w:kern w:val="0"/>
          <w:szCs w:val="21"/>
          <w:highlight w:val="none"/>
          <w:u w:val="single"/>
        </w:rPr>
        <w:t>个自然日内完成</w:t>
      </w:r>
      <w:r>
        <w:rPr>
          <w:rFonts w:hint="eastAsia" w:ascii="宋体" w:hAnsi="宋体"/>
          <w:snapToGrid w:val="0"/>
          <w:kern w:val="0"/>
          <w:szCs w:val="21"/>
          <w:highlight w:val="none"/>
          <w:u w:val="single"/>
          <w:lang w:val="en-US" w:eastAsia="zh-CN"/>
        </w:rPr>
        <w:t>对本次设计所涉及区域现状的勘测、调查、评估（准备阶段）；在现状勘测工作完成后3自然日内完成本次设计所涉及区域的设计及预算编制（设计阶段）；在比选人明确设计和预算后，在10个自然日内完成施工（施工阶段）。</w:t>
      </w:r>
      <w:r>
        <w:rPr>
          <w:rFonts w:hint="eastAsia" w:ascii="宋体" w:hAnsi="宋体"/>
          <w:snapToGrid w:val="0"/>
          <w:kern w:val="0"/>
          <w:szCs w:val="21"/>
          <w:highlight w:val="none"/>
          <w:u w:val="single"/>
        </w:rPr>
        <w:t>最终完成时限根据项目实际情况以及比选人要求确定。</w:t>
      </w:r>
    </w:p>
    <w:p w14:paraId="6314D729">
      <w:pPr>
        <w:keepNext w:val="0"/>
        <w:keepLines w:val="0"/>
        <w:pageBreakBefore w:val="0"/>
        <w:kinsoku/>
        <w:wordWrap/>
        <w:overflowPunct/>
        <w:topLinePunct w:val="0"/>
        <w:autoSpaceDE/>
        <w:autoSpaceDN/>
        <w:bidi w:val="0"/>
        <w:adjustRightInd/>
        <w:snapToGrid/>
        <w:spacing w:line="400" w:lineRule="exact"/>
        <w:textAlignment w:val="auto"/>
        <w:outlineLvl w:val="1"/>
        <w:rPr>
          <w:rFonts w:ascii="宋体" w:hAnsi="宋体"/>
          <w:b/>
          <w:bCs/>
          <w:snapToGrid w:val="0"/>
          <w:sz w:val="28"/>
          <w:szCs w:val="28"/>
          <w:highlight w:val="none"/>
        </w:rPr>
      </w:pPr>
      <w:r>
        <w:rPr>
          <w:rFonts w:hint="eastAsia" w:ascii="宋体" w:hAnsi="宋体"/>
          <w:b/>
          <w:bCs/>
          <w:snapToGrid w:val="0"/>
          <w:sz w:val="28"/>
          <w:szCs w:val="28"/>
          <w:highlight w:val="none"/>
        </w:rPr>
        <w:t>2.费用结算及支付</w:t>
      </w:r>
    </w:p>
    <w:p w14:paraId="4D15E67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u w:val="single"/>
        </w:rPr>
      </w:pPr>
      <w:r>
        <w:rPr>
          <w:rFonts w:hint="eastAsia" w:ascii="宋体" w:hAnsi="宋体" w:eastAsia="宋体" w:cs="宋体"/>
          <w:color w:val="000000"/>
          <w:kern w:val="0"/>
          <w:sz w:val="21"/>
          <w:szCs w:val="21"/>
          <w:highlight w:val="none"/>
          <w:u w:val="single"/>
          <w:lang w:val="en-US" w:eastAsia="zh-CN" w:bidi="ar"/>
        </w:rPr>
        <w:t xml:space="preserve">2.1费用结算：合同结算价=全费用设计费+工程结算价±合同约定的其他费用。合同约定的其他费用包括变更结算金额、索赔赔付金额、奖励、罚金、违约金、价差调整等。 </w:t>
      </w:r>
    </w:p>
    <w:p w14:paraId="3510D613">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2.1.1设计费结算原则 </w:t>
      </w:r>
    </w:p>
    <w:p w14:paraId="579874ED">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u w:val="single"/>
        </w:rPr>
      </w:pPr>
      <w:r>
        <w:rPr>
          <w:rFonts w:hint="eastAsia" w:ascii="宋体" w:hAnsi="宋体" w:eastAsia="宋体" w:cs="宋体"/>
          <w:color w:val="000000"/>
          <w:kern w:val="0"/>
          <w:sz w:val="21"/>
          <w:szCs w:val="21"/>
          <w:highlight w:val="none"/>
          <w:u w:val="single"/>
          <w:lang w:val="en-US" w:eastAsia="zh-CN" w:bidi="ar"/>
        </w:rPr>
        <w:t xml:space="preserve">设计费按照合同签订金额包干价结算。中选人提供的设计文件必须实现招标人意图，满足项目功能需求、满足国家、行业相关规范及招标人技术标准要求，因中选人自身原因造成的设计文件有缺陷，中选人应无条件修改设计及施工内容，由此增加的设计费、建安工程费及其它费用均由中选人自行承担。 </w:t>
      </w:r>
    </w:p>
    <w:p w14:paraId="481FFD6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2.1.2工程费结算原则 </w:t>
      </w:r>
    </w:p>
    <w:p w14:paraId="301B63E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w:t>
      </w:r>
      <w:r>
        <w:rPr>
          <w:rFonts w:hint="eastAsia" w:ascii="宋体" w:hAnsi="宋体" w:cs="宋体"/>
          <w:color w:val="000000"/>
          <w:kern w:val="0"/>
          <w:sz w:val="21"/>
          <w:szCs w:val="21"/>
          <w:highlight w:val="none"/>
          <w:lang w:val="en-US" w:eastAsia="zh-CN" w:bidi="ar"/>
        </w:rPr>
        <w:t>工程</w:t>
      </w:r>
      <w:r>
        <w:rPr>
          <w:rFonts w:hint="eastAsia" w:ascii="宋体" w:hAnsi="宋体" w:eastAsia="宋体" w:cs="宋体"/>
          <w:color w:val="000000"/>
          <w:kern w:val="0"/>
          <w:sz w:val="21"/>
          <w:szCs w:val="21"/>
          <w:highlight w:val="none"/>
          <w:lang w:val="en-US" w:eastAsia="zh-CN" w:bidi="ar"/>
        </w:rPr>
        <w:t>预算编制</w:t>
      </w:r>
    </w:p>
    <w:p w14:paraId="423E59E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中选人在设计图纸编制完成后，应根据本比选文件中所规定的参选报价中规定的报价原则和计价原则及中标下浮比例（中选下浮比例=1-工程费固定费率）编制工程量清单并进行清单组价（清单组价应按中标下浮比例下浮）并向比选人申报（比选人审定设计图纸后，中选人应按审定后的图纸对工程量清单和清单组价进行调整后再次报），由比选人审查后，审定的工程量清单及其综合单价作为进度款支付及结算依据，工程量据实结算；中选</w:t>
      </w:r>
      <w:r>
        <w:rPr>
          <w:rFonts w:hint="default" w:ascii="宋体" w:hAnsi="宋体" w:eastAsia="宋体" w:cs="宋体"/>
          <w:color w:val="000000"/>
          <w:kern w:val="0"/>
          <w:sz w:val="21"/>
          <w:szCs w:val="21"/>
          <w:highlight w:val="none"/>
          <w:lang w:val="en-US" w:eastAsia="zh-CN" w:bidi="ar"/>
        </w:rPr>
        <w:t xml:space="preserve">人申报的工程量清单及其组价应真实准确，根据施工图如有漏项，视为已包含在其他清单项目中结算时不予另行计算。下浮比例为税前总造价下浮（其中认质核价部分、安全文明施工费、规费、单独另有约定的项目不下浮），工程费建安工程费固定费率固定不变，不因任何因素调整。 </w:t>
      </w:r>
    </w:p>
    <w:p w14:paraId="28B1EA5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（2）工程费结算</w:t>
      </w:r>
    </w:p>
    <w:p w14:paraId="3707E0B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特别说明：</w:t>
      </w:r>
      <w:r>
        <w:rPr>
          <w:rFonts w:hint="eastAsia" w:ascii="宋体" w:hAnsi="宋体" w:eastAsia="宋体" w:cs="宋体"/>
          <w:color w:val="000000"/>
          <w:kern w:val="0"/>
          <w:sz w:val="21"/>
          <w:szCs w:val="21"/>
          <w:highlight w:val="none"/>
          <w:u w:val="single"/>
          <w:lang w:val="en-US" w:eastAsia="zh-CN" w:bidi="ar"/>
        </w:rPr>
        <w:t>本项目工程部分采取限额结算。以</w:t>
      </w:r>
      <w:r>
        <w:rPr>
          <w:rFonts w:hint="eastAsia" w:ascii="宋体" w:hAnsi="宋体" w:cs="宋体"/>
          <w:color w:val="000000"/>
          <w:kern w:val="0"/>
          <w:sz w:val="21"/>
          <w:szCs w:val="21"/>
          <w:highlight w:val="none"/>
          <w:u w:val="single"/>
          <w:lang w:val="en-US" w:eastAsia="zh-CN" w:bidi="ar"/>
        </w:rPr>
        <w:t>679300</w:t>
      </w:r>
      <w:r>
        <w:rPr>
          <w:rFonts w:hint="eastAsia" w:ascii="宋体" w:hAnsi="宋体" w:eastAsia="宋体" w:cs="宋体"/>
          <w:color w:val="000000"/>
          <w:kern w:val="0"/>
          <w:sz w:val="21"/>
          <w:szCs w:val="21"/>
          <w:highlight w:val="none"/>
          <w:u w:val="single"/>
          <w:lang w:val="en-US" w:eastAsia="zh-CN" w:bidi="ar"/>
        </w:rPr>
        <w:t xml:space="preserve">元作为结算限额，工程结算金额在结算限额内时，根据结算原则按实结算；若工程结算金额超过结算限额时，按结算限额结算。 </w:t>
      </w:r>
    </w:p>
    <w:p w14:paraId="0191221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highlight w:val="none"/>
          <w:u w:val="single"/>
          <w:lang w:val="en-US" w:eastAsia="zh-CN" w:bidi="ar"/>
        </w:rPr>
      </w:pPr>
      <w:r>
        <w:rPr>
          <w:rFonts w:hint="eastAsia" w:ascii="宋体" w:hAnsi="宋体" w:eastAsia="宋体" w:cs="宋体"/>
          <w:color w:val="000000"/>
          <w:kern w:val="0"/>
          <w:sz w:val="21"/>
          <w:szCs w:val="21"/>
          <w:highlight w:val="none"/>
          <w:u w:val="single"/>
          <w:lang w:val="en-US" w:eastAsia="zh-CN" w:bidi="ar"/>
        </w:rPr>
        <w:t>结算价=已完工合格分部分项工程量清单结算价+措施费(安全文明施工费除外)</w:t>
      </w:r>
      <w:r>
        <w:rPr>
          <w:rFonts w:hint="eastAsia" w:ascii="宋体" w:hAnsi="宋体" w:cs="宋体"/>
          <w:color w:val="000000"/>
          <w:kern w:val="0"/>
          <w:sz w:val="21"/>
          <w:szCs w:val="21"/>
          <w:highlight w:val="none"/>
          <w:u w:val="single"/>
          <w:lang w:val="en-US" w:eastAsia="zh-CN" w:bidi="ar"/>
        </w:rPr>
        <w:t>+</w:t>
      </w:r>
      <w:r>
        <w:rPr>
          <w:rFonts w:hint="eastAsia" w:ascii="宋体" w:hAnsi="宋体" w:eastAsia="宋体" w:cs="宋体"/>
          <w:color w:val="000000"/>
          <w:kern w:val="0"/>
          <w:sz w:val="21"/>
          <w:szCs w:val="21"/>
          <w:highlight w:val="none"/>
          <w:u w:val="single"/>
          <w:lang w:val="en-US" w:eastAsia="zh-CN" w:bidi="ar"/>
        </w:rPr>
        <w:t>分部分项工程量清单新增或变更等引起的增(减)子项结算价+暂列金额确定价+安全文明施工费+规费+税金，各部分的结算原则如下：</w:t>
      </w:r>
    </w:p>
    <w:p w14:paraId="2519F9F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1）各分部分项工程工程量清单结算价：</w:t>
      </w:r>
    </w:p>
    <w:p w14:paraId="60CC0D4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Calibri" w:hAnsi="Calibri" w:eastAsia="宋体" w:cs="Calibri"/>
          <w:color w:val="000000"/>
          <w:kern w:val="0"/>
          <w:sz w:val="21"/>
          <w:szCs w:val="21"/>
          <w:highlight w:val="none"/>
          <w:lang w:val="en-US" w:eastAsia="zh-CN" w:bidi="ar"/>
        </w:rPr>
        <w:t>①</w:t>
      </w:r>
      <w:r>
        <w:rPr>
          <w:rFonts w:hint="eastAsia" w:ascii="宋体" w:hAnsi="宋体" w:eastAsia="宋体" w:cs="宋体"/>
          <w:color w:val="000000"/>
          <w:kern w:val="0"/>
          <w:sz w:val="21"/>
          <w:szCs w:val="21"/>
          <w:highlight w:val="none"/>
          <w:lang w:val="en-US" w:eastAsia="zh-CN" w:bidi="ar"/>
        </w:rPr>
        <w:t>子项工程量：子项工程量按《建设工程工程量清单计价规范》(GB50500-2013)、《市政工程工程量计算规范》(GB50857-2013)和《重庆市建设工程工程量计算规则》(CQJLGZ-2013)约定的计量规则计算的实际合格工程量，工程量计算以施工图及设计变更、有效签字资料结合竣工图和现场实际情况作为依据进行结算审核，并经审计(评审)后作为结算依据。</w:t>
      </w:r>
    </w:p>
    <w:p w14:paraId="2F72B06C">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000000"/>
          <w:kern w:val="0"/>
          <w:sz w:val="21"/>
          <w:szCs w:val="21"/>
          <w:highlight w:val="none"/>
          <w:lang w:val="en-US" w:eastAsia="zh-CN" w:bidi="ar"/>
        </w:rPr>
      </w:pPr>
      <w:r>
        <w:rPr>
          <w:rFonts w:hint="eastAsia" w:ascii="Calibri" w:hAnsi="Calibri" w:eastAsia="宋体" w:cs="Calibri"/>
          <w:color w:val="000000"/>
          <w:kern w:val="0"/>
          <w:sz w:val="21"/>
          <w:szCs w:val="21"/>
          <w:highlight w:val="none"/>
          <w:lang w:val="en-US" w:eastAsia="zh-CN" w:bidi="ar"/>
        </w:rPr>
        <w:t>②</w:t>
      </w:r>
      <w:r>
        <w:rPr>
          <w:rFonts w:hint="eastAsia" w:ascii="宋体" w:hAnsi="宋体" w:eastAsia="宋体" w:cs="宋体"/>
          <w:color w:val="000000"/>
          <w:kern w:val="0"/>
          <w:sz w:val="21"/>
          <w:szCs w:val="21"/>
          <w:highlight w:val="none"/>
          <w:lang w:val="en-US" w:eastAsia="zh-CN" w:bidi="ar"/>
        </w:rPr>
        <w:t>子项综合单价：以比选人审核的综合单价作为结算依据。</w:t>
      </w:r>
    </w:p>
    <w:p w14:paraId="01320A0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2）材料价差的调整：本项目材料价差不调整。</w:t>
      </w:r>
    </w:p>
    <w:p w14:paraId="39DF0038">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3）措施费：按《重庆市建设工程费用定额》（CQFYDE-2018）及相关文件规定执行。 </w:t>
      </w:r>
    </w:p>
    <w:p w14:paraId="438C862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4）安全文明施工费： </w:t>
      </w:r>
    </w:p>
    <w:p w14:paraId="79288DF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highlight w:val="none"/>
        </w:rPr>
      </w:pPr>
      <w:r>
        <w:rPr>
          <w:rFonts w:hint="eastAsia" w:ascii="宋体" w:hAnsi="宋体" w:eastAsia="宋体" w:cs="宋体"/>
          <w:color w:val="000000"/>
          <w:kern w:val="0"/>
          <w:sz w:val="21"/>
          <w:szCs w:val="21"/>
          <w:highlight w:val="none"/>
          <w:lang w:val="en-US" w:eastAsia="zh-CN" w:bidi="ar"/>
        </w:rPr>
        <w:t>按照</w:t>
      </w:r>
      <w:r>
        <w:rPr>
          <w:rFonts w:hint="eastAsia"/>
          <w:highlight w:val="none"/>
        </w:rPr>
        <w:t>《重庆城乡建设委员会关于印《重庆市建设工程安全文明施工费计取及使用管理规定(2024版)》</w:t>
      </w:r>
      <w:r>
        <w:rPr>
          <w:rFonts w:hint="eastAsia"/>
          <w:highlight w:val="none"/>
          <w:lang w:eastAsia="zh-CN"/>
        </w:rPr>
        <w:t>（</w:t>
      </w:r>
      <w:r>
        <w:rPr>
          <w:rFonts w:hint="eastAsia"/>
          <w:highlight w:val="none"/>
        </w:rPr>
        <w:t>渝建管</w:t>
      </w:r>
      <w:r>
        <w:rPr>
          <w:rFonts w:hint="eastAsia" w:ascii="仿宋" w:hAnsi="仿宋" w:eastAsia="仿宋" w:cs="仿宋"/>
          <w:highlight w:val="none"/>
        </w:rPr>
        <w:t>〔</w:t>
      </w:r>
      <w:r>
        <w:rPr>
          <w:rFonts w:hint="eastAsia"/>
          <w:highlight w:val="none"/>
        </w:rPr>
        <w:t>2024</w:t>
      </w:r>
      <w:r>
        <w:rPr>
          <w:rFonts w:hint="eastAsia" w:ascii="仿宋" w:hAnsi="仿宋" w:eastAsia="仿宋" w:cs="仿宋"/>
          <w:highlight w:val="none"/>
        </w:rPr>
        <w:t>〕</w:t>
      </w:r>
      <w:r>
        <w:rPr>
          <w:rFonts w:hint="eastAsia"/>
          <w:highlight w:val="none"/>
        </w:rPr>
        <w:t>38号</w:t>
      </w:r>
      <w:r>
        <w:rPr>
          <w:rFonts w:hint="eastAsia"/>
          <w:highlight w:val="none"/>
          <w:lang w:eastAsia="zh-CN"/>
        </w:rPr>
        <w:t>）</w:t>
      </w:r>
      <w:r>
        <w:rPr>
          <w:rFonts w:hint="eastAsia" w:ascii="宋体" w:hAnsi="宋体" w:eastAsia="宋体" w:cs="宋体"/>
          <w:color w:val="000000"/>
          <w:kern w:val="0"/>
          <w:sz w:val="21"/>
          <w:szCs w:val="21"/>
          <w:highlight w:val="none"/>
          <w:lang w:val="en-US" w:eastAsia="zh-CN" w:bidi="ar"/>
        </w:rPr>
        <w:t>规定执行</w:t>
      </w:r>
      <w:r>
        <w:rPr>
          <w:rFonts w:ascii="瀹嬩綋" w:hAnsi="瀹嬩綋" w:eastAsia="瀹嬩綋" w:cs="瀹嬩綋"/>
          <w:color w:val="000000"/>
          <w:kern w:val="0"/>
          <w:sz w:val="21"/>
          <w:szCs w:val="21"/>
          <w:highlight w:val="none"/>
          <w:lang w:val="en-US" w:eastAsia="zh-CN" w:bidi="ar"/>
        </w:rPr>
        <w:t xml:space="preserve">。 </w:t>
      </w:r>
    </w:p>
    <w:p w14:paraId="6B85DBA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5）规费：按相关规定计取。 </w:t>
      </w:r>
    </w:p>
    <w:p w14:paraId="6A07F03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6）税金：按照《重庆市建设工程费用定额》（CQFYDE-2018）和 《重庆市住房和城乡建设委员会关于适用增值税新税率调整建设工程计价依据的通知》（渝建（2019）143 号）的规定执行。 </w:t>
      </w:r>
    </w:p>
    <w:p w14:paraId="30FD9CAC">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7）变更估价原则：本工程所有变更均由中选人实施，但不增加任何设计费用；在工程施工过程中，因中选人自身原因造成的设计文件有缺陷，中选人应无条件修改设计及施工内容</w:t>
      </w:r>
      <w:r>
        <w:rPr>
          <w:rFonts w:hint="default" w:ascii="宋体" w:hAnsi="宋体" w:eastAsia="宋体" w:cs="宋体"/>
          <w:color w:val="000000"/>
          <w:kern w:val="0"/>
          <w:sz w:val="21"/>
          <w:szCs w:val="21"/>
          <w:highlight w:val="none"/>
          <w:lang w:val="en-US" w:eastAsia="zh-CN" w:bidi="ar"/>
        </w:rPr>
        <w:t>；非</w:t>
      </w:r>
      <w:r>
        <w:rPr>
          <w:rFonts w:hint="eastAsia" w:ascii="宋体" w:hAnsi="宋体" w:eastAsia="宋体" w:cs="宋体"/>
          <w:color w:val="000000"/>
          <w:kern w:val="0"/>
          <w:sz w:val="21"/>
          <w:szCs w:val="21"/>
          <w:highlight w:val="none"/>
          <w:lang w:val="en-US" w:eastAsia="zh-CN" w:bidi="ar"/>
        </w:rPr>
        <w:t>中选人</w:t>
      </w:r>
      <w:r>
        <w:rPr>
          <w:rFonts w:hint="default" w:ascii="宋体" w:hAnsi="宋体" w:eastAsia="宋体" w:cs="宋体"/>
          <w:color w:val="000000"/>
          <w:kern w:val="0"/>
          <w:sz w:val="21"/>
          <w:szCs w:val="21"/>
          <w:highlight w:val="none"/>
          <w:lang w:val="en-US" w:eastAsia="zh-CN" w:bidi="ar"/>
        </w:rPr>
        <w:t>原因引起的变更，其建安工程费采用以下办法结算：由</w:t>
      </w:r>
      <w:r>
        <w:rPr>
          <w:rFonts w:hint="eastAsia" w:ascii="宋体" w:hAnsi="宋体" w:eastAsia="宋体" w:cs="宋体"/>
          <w:color w:val="000000"/>
          <w:kern w:val="0"/>
          <w:sz w:val="21"/>
          <w:szCs w:val="21"/>
          <w:highlight w:val="none"/>
          <w:lang w:val="en-US" w:eastAsia="zh-CN" w:bidi="ar"/>
        </w:rPr>
        <w:t>比选人</w:t>
      </w:r>
      <w:r>
        <w:rPr>
          <w:rFonts w:hint="default" w:ascii="宋体" w:hAnsi="宋体" w:eastAsia="宋体" w:cs="宋体"/>
          <w:color w:val="000000"/>
          <w:kern w:val="0"/>
          <w:sz w:val="21"/>
          <w:szCs w:val="21"/>
          <w:highlight w:val="none"/>
          <w:lang w:val="en-US" w:eastAsia="zh-CN" w:bidi="ar"/>
        </w:rPr>
        <w:t>委托第三方咨询机构审定的工程量清单中有相同清单的，执行该清单价格；有类似清单的，按类似清单进行结算；即无相同清单也无类似清单的，按合同及</w:t>
      </w:r>
      <w:r>
        <w:rPr>
          <w:rFonts w:hint="eastAsia" w:ascii="宋体" w:hAnsi="宋体" w:eastAsia="宋体" w:cs="宋体"/>
          <w:color w:val="000000"/>
          <w:kern w:val="0"/>
          <w:sz w:val="21"/>
          <w:szCs w:val="21"/>
          <w:highlight w:val="none"/>
          <w:lang w:val="en-US" w:eastAsia="zh-CN" w:bidi="ar"/>
        </w:rPr>
        <w:t>比选文件</w:t>
      </w:r>
      <w:r>
        <w:rPr>
          <w:rFonts w:hint="default" w:ascii="宋体" w:hAnsi="宋体" w:eastAsia="宋体" w:cs="宋体"/>
          <w:color w:val="000000"/>
          <w:kern w:val="0"/>
          <w:sz w:val="21"/>
          <w:szCs w:val="21"/>
          <w:highlight w:val="none"/>
          <w:lang w:val="en-US" w:eastAsia="zh-CN" w:bidi="ar"/>
        </w:rPr>
        <w:t>载明的建安工程费报价、计价原则以及</w:t>
      </w:r>
      <w:r>
        <w:rPr>
          <w:rFonts w:hint="eastAsia" w:ascii="宋体" w:hAnsi="宋体" w:eastAsia="宋体" w:cs="宋体"/>
          <w:color w:val="000000"/>
          <w:kern w:val="0"/>
          <w:sz w:val="21"/>
          <w:szCs w:val="21"/>
          <w:highlight w:val="none"/>
          <w:lang w:val="en-US" w:eastAsia="zh-CN" w:bidi="ar"/>
        </w:rPr>
        <w:t>中选</w:t>
      </w:r>
      <w:r>
        <w:rPr>
          <w:rFonts w:hint="default" w:ascii="宋体" w:hAnsi="宋体" w:eastAsia="宋体" w:cs="宋体"/>
          <w:color w:val="000000"/>
          <w:kern w:val="0"/>
          <w:sz w:val="21"/>
          <w:szCs w:val="21"/>
          <w:highlight w:val="none"/>
          <w:lang w:val="en-US" w:eastAsia="zh-CN" w:bidi="ar"/>
        </w:rPr>
        <w:t>下浮比</w:t>
      </w:r>
      <w:r>
        <w:rPr>
          <w:rFonts w:hint="eastAsia" w:ascii="宋体" w:hAnsi="宋体" w:eastAsia="宋体" w:cs="宋体"/>
          <w:color w:val="000000"/>
          <w:kern w:val="0"/>
          <w:sz w:val="21"/>
          <w:szCs w:val="21"/>
          <w:highlight w:val="none"/>
          <w:lang w:val="en-US" w:eastAsia="zh-CN" w:bidi="ar"/>
        </w:rPr>
        <w:t xml:space="preserve">例（中标下浮比例=1-建筑安装工程费固定费率）和范围进行结算。 </w:t>
      </w:r>
    </w:p>
    <w:p w14:paraId="02C91B7D">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8）若根据前述规定计算的工程费结算金额超过结算限额的，则按结算限额进行结算；若未超过，则按前述规定据实结算。</w:t>
      </w:r>
    </w:p>
    <w:p w14:paraId="2A37994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9）结算的其他约定：中选人提交的结算经比选人审核，若审减率在5%(含5%)以内，审计机构收取的基本审核费和审减效益费由比选人承担；若审减率超过5%，则审计机构收取的基本审核费由比选人承担，但审减效益费（按审减金额的5%计取，含审减5%以内的和审减超过5%以外的）均由中选人承担。比选人有权在应付中选人的款项中直接扣除。 </w:t>
      </w:r>
    </w:p>
    <w:p w14:paraId="065A35C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10）本工程最终以比选人上级单位委托的审计单位审定金额作为结算价。</w:t>
      </w:r>
    </w:p>
    <w:p w14:paraId="381E262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2.1.3其他费用结算原则：按合同相关约定执行 。 </w:t>
      </w:r>
    </w:p>
    <w:p w14:paraId="10A41527">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宋体" w:hAnsi="宋体"/>
          <w:b/>
          <w:bCs/>
          <w:color w:val="000000"/>
          <w:szCs w:val="21"/>
          <w:highlight w:val="none"/>
        </w:rPr>
      </w:pPr>
      <w:r>
        <w:rPr>
          <w:rFonts w:ascii="宋体" w:hAnsi="宋体"/>
          <w:b/>
          <w:bCs/>
          <w:color w:val="000000"/>
          <w:szCs w:val="21"/>
          <w:highlight w:val="none"/>
        </w:rPr>
        <w:t>2.2费用支付</w:t>
      </w:r>
    </w:p>
    <w:p w14:paraId="035A636D">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b w:val="0"/>
          <w:bCs w:val="0"/>
          <w:color w:val="000000"/>
          <w:szCs w:val="21"/>
          <w:highlight w:val="none"/>
          <w:lang w:val="en-US" w:eastAsia="zh-CN"/>
        </w:rPr>
      </w:pPr>
      <w:r>
        <w:rPr>
          <w:rFonts w:hint="eastAsia" w:ascii="宋体" w:hAnsi="宋体"/>
          <w:b w:val="0"/>
          <w:bCs w:val="0"/>
          <w:color w:val="000000"/>
          <w:szCs w:val="21"/>
          <w:highlight w:val="none"/>
          <w:lang w:val="en-US" w:eastAsia="zh-CN"/>
        </w:rPr>
        <w:t>2.2.1安装工程设计费：</w:t>
      </w:r>
    </w:p>
    <w:p w14:paraId="0A47F9C8">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rFonts w:hint="eastAsia" w:ascii="宋体" w:hAnsi="宋体"/>
          <w:color w:val="000000"/>
          <w:szCs w:val="21"/>
          <w:highlight w:val="none"/>
          <w:lang w:eastAsia="zh-CN"/>
        </w:rPr>
      </w:pPr>
      <w:r>
        <w:rPr>
          <w:rFonts w:hint="eastAsia" w:ascii="宋体" w:hAnsi="宋体"/>
          <w:b w:val="0"/>
          <w:bCs w:val="0"/>
          <w:color w:val="000000"/>
          <w:szCs w:val="21"/>
          <w:highlight w:val="none"/>
          <w:lang w:val="en-US" w:eastAsia="zh-CN"/>
        </w:rPr>
        <w:t>（1）乙方</w:t>
      </w:r>
      <w:r>
        <w:rPr>
          <w:rFonts w:hint="eastAsia" w:ascii="宋体" w:hAnsi="宋体"/>
          <w:snapToGrid w:val="0"/>
          <w:kern w:val="0"/>
          <w:szCs w:val="21"/>
          <w:highlight w:val="none"/>
          <w:u w:val="none"/>
          <w:lang w:val="en-US" w:eastAsia="zh-CN"/>
        </w:rPr>
        <w:t>完成施工图设计，并报甲方审批通过后，支付设计费的70%，在甲方收到</w:t>
      </w:r>
      <w:r>
        <w:rPr>
          <w:rFonts w:hint="eastAsia" w:ascii="宋体" w:hAnsi="宋体"/>
          <w:color w:val="000000"/>
          <w:szCs w:val="21"/>
          <w:highlight w:val="none"/>
        </w:rPr>
        <w:t>乙方开具的等额正式发票后</w:t>
      </w:r>
      <w:r>
        <w:rPr>
          <w:rFonts w:ascii="宋体" w:hAnsi="宋体"/>
          <w:color w:val="000000"/>
          <w:szCs w:val="21"/>
          <w:highlight w:val="none"/>
        </w:rPr>
        <w:t>7</w:t>
      </w:r>
      <w:r>
        <w:rPr>
          <w:rFonts w:hint="eastAsia" w:ascii="宋体" w:hAnsi="宋体"/>
          <w:color w:val="000000"/>
          <w:szCs w:val="21"/>
          <w:highlight w:val="none"/>
        </w:rPr>
        <w:t>个工作日内，甲方向乙方支付</w:t>
      </w:r>
      <w:r>
        <w:rPr>
          <w:rFonts w:hint="eastAsia" w:ascii="宋体" w:hAnsi="宋体"/>
          <w:color w:val="000000"/>
          <w:szCs w:val="21"/>
          <w:highlight w:val="none"/>
          <w:lang w:val="en-US" w:eastAsia="zh-CN"/>
        </w:rPr>
        <w:t>该笔</w:t>
      </w:r>
      <w:r>
        <w:rPr>
          <w:rFonts w:hint="eastAsia" w:ascii="宋体" w:hAnsi="宋体"/>
          <w:color w:val="000000"/>
          <w:szCs w:val="21"/>
          <w:highlight w:val="none"/>
        </w:rPr>
        <w:t>费用</w:t>
      </w:r>
      <w:r>
        <w:rPr>
          <w:rFonts w:hint="eastAsia" w:ascii="宋体" w:hAnsi="宋体"/>
          <w:color w:val="000000"/>
          <w:szCs w:val="21"/>
          <w:highlight w:val="none"/>
          <w:lang w:eastAsia="zh-CN"/>
        </w:rPr>
        <w:t>；</w:t>
      </w:r>
    </w:p>
    <w:p w14:paraId="2A5CBFAB">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rFonts w:hint="eastAsia" w:ascii="宋体" w:hAnsi="宋体"/>
          <w:color w:val="000000"/>
          <w:szCs w:val="21"/>
          <w:highlight w:val="none"/>
          <w:lang w:eastAsia="zh-CN"/>
        </w:rPr>
      </w:pP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2</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乙方完成施工，经甲方验收通过后，甲方向乙方支付设计费剩余的30%，</w:t>
      </w:r>
      <w:r>
        <w:rPr>
          <w:rFonts w:hint="eastAsia" w:ascii="宋体" w:hAnsi="宋体"/>
          <w:color w:val="000000"/>
          <w:szCs w:val="21"/>
          <w:highlight w:val="none"/>
        </w:rPr>
        <w:t>在甲方收到乙方开具的等额正式发票后 7个工作日内，甲方向乙方支付</w:t>
      </w:r>
      <w:r>
        <w:rPr>
          <w:rFonts w:hint="eastAsia" w:ascii="宋体" w:hAnsi="宋体"/>
          <w:color w:val="000000"/>
          <w:szCs w:val="21"/>
          <w:highlight w:val="none"/>
          <w:lang w:val="en-US" w:eastAsia="zh-CN"/>
        </w:rPr>
        <w:t>该笔</w:t>
      </w:r>
      <w:r>
        <w:rPr>
          <w:rFonts w:hint="eastAsia" w:ascii="宋体" w:hAnsi="宋体"/>
          <w:color w:val="000000"/>
          <w:szCs w:val="21"/>
          <w:highlight w:val="none"/>
        </w:rPr>
        <w:t>费用</w:t>
      </w:r>
      <w:r>
        <w:rPr>
          <w:rFonts w:hint="eastAsia" w:ascii="宋体" w:hAnsi="宋体"/>
          <w:color w:val="000000"/>
          <w:szCs w:val="21"/>
          <w:highlight w:val="none"/>
          <w:lang w:eastAsia="zh-CN"/>
        </w:rPr>
        <w:t>；</w:t>
      </w:r>
    </w:p>
    <w:p w14:paraId="715E1DF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b w:val="0"/>
          <w:bCs w:val="0"/>
          <w:color w:val="000000"/>
          <w:szCs w:val="21"/>
          <w:highlight w:val="none"/>
          <w:lang w:val="en-US" w:eastAsia="zh-CN"/>
        </w:rPr>
      </w:pPr>
      <w:r>
        <w:rPr>
          <w:rFonts w:hint="eastAsia" w:ascii="宋体" w:hAnsi="宋体"/>
          <w:b w:val="0"/>
          <w:bCs w:val="0"/>
          <w:color w:val="000000"/>
          <w:szCs w:val="21"/>
          <w:highlight w:val="none"/>
          <w:lang w:val="en-US" w:eastAsia="zh-CN"/>
        </w:rPr>
        <w:t>2.2.2工程费：</w:t>
      </w:r>
    </w:p>
    <w:p w14:paraId="2EBA67C5">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rFonts w:hint="eastAsia" w:ascii="宋体" w:hAnsi="宋体" w:eastAsia="宋体"/>
          <w:color w:val="000000"/>
          <w:szCs w:val="21"/>
          <w:highlight w:val="none"/>
          <w:lang w:eastAsia="zh-CN"/>
        </w:rPr>
      </w:pPr>
      <w:r>
        <w:rPr>
          <w:rFonts w:hint="eastAsia" w:ascii="宋体" w:hAnsi="宋体"/>
          <w:b w:val="0"/>
          <w:bCs w:val="0"/>
          <w:color w:val="000000"/>
          <w:szCs w:val="21"/>
          <w:highlight w:val="none"/>
          <w:lang w:val="en-US" w:eastAsia="zh-CN"/>
        </w:rPr>
        <w:t>（1）乙方完成施工，经甲方验收通过后1个月内，甲方向乙方支付合格工程量的70%，</w:t>
      </w:r>
      <w:r>
        <w:rPr>
          <w:rFonts w:hint="eastAsia" w:ascii="宋体" w:hAnsi="宋体"/>
          <w:color w:val="000000"/>
          <w:szCs w:val="21"/>
          <w:highlight w:val="none"/>
        </w:rPr>
        <w:t>在，甲方向乙方支付</w:t>
      </w:r>
      <w:r>
        <w:rPr>
          <w:rFonts w:hint="eastAsia" w:ascii="宋体" w:hAnsi="宋体"/>
          <w:color w:val="000000"/>
          <w:szCs w:val="21"/>
          <w:highlight w:val="none"/>
          <w:lang w:val="en-US" w:eastAsia="zh-CN"/>
        </w:rPr>
        <w:t>该笔</w:t>
      </w:r>
      <w:r>
        <w:rPr>
          <w:rFonts w:hint="eastAsia" w:ascii="宋体" w:hAnsi="宋体"/>
          <w:color w:val="000000"/>
          <w:szCs w:val="21"/>
          <w:highlight w:val="none"/>
        </w:rPr>
        <w:t>费用</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支付前</w:t>
      </w:r>
      <w:r>
        <w:rPr>
          <w:rFonts w:hint="eastAsia" w:ascii="宋体" w:hAnsi="宋体"/>
          <w:color w:val="000000"/>
          <w:szCs w:val="21"/>
          <w:highlight w:val="none"/>
        </w:rPr>
        <w:t>乙方</w:t>
      </w:r>
      <w:r>
        <w:rPr>
          <w:rFonts w:hint="eastAsia" w:ascii="宋体" w:hAnsi="宋体"/>
          <w:color w:val="000000"/>
          <w:szCs w:val="21"/>
          <w:highlight w:val="none"/>
          <w:lang w:val="en-US" w:eastAsia="zh-CN"/>
        </w:rPr>
        <w:t>须</w:t>
      </w:r>
      <w:r>
        <w:rPr>
          <w:rFonts w:hint="eastAsia" w:ascii="宋体" w:hAnsi="宋体"/>
          <w:color w:val="000000"/>
          <w:szCs w:val="21"/>
          <w:highlight w:val="none"/>
        </w:rPr>
        <w:t>开具等额正式</w:t>
      </w:r>
      <w:r>
        <w:rPr>
          <w:rFonts w:hint="eastAsia" w:ascii="宋体" w:hAnsi="宋体"/>
          <w:color w:val="000000"/>
          <w:szCs w:val="21"/>
          <w:highlight w:val="none"/>
          <w:lang w:val="en-US" w:eastAsia="zh-CN"/>
        </w:rPr>
        <w:t>增值税专用</w:t>
      </w:r>
      <w:r>
        <w:rPr>
          <w:rFonts w:hint="eastAsia" w:ascii="宋体" w:hAnsi="宋体"/>
          <w:color w:val="000000"/>
          <w:szCs w:val="21"/>
          <w:highlight w:val="none"/>
        </w:rPr>
        <w:t>发票</w:t>
      </w:r>
      <w:r>
        <w:rPr>
          <w:rFonts w:hint="eastAsia" w:ascii="宋体" w:hAnsi="宋体"/>
          <w:color w:val="000000"/>
          <w:szCs w:val="21"/>
          <w:highlight w:val="none"/>
          <w:lang w:eastAsia="zh-CN"/>
        </w:rPr>
        <w:t>。</w:t>
      </w:r>
    </w:p>
    <w:p w14:paraId="2F8250D2">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rFonts w:hint="eastAsia" w:ascii="宋体" w:hAnsi="宋体"/>
          <w:color w:val="000000"/>
          <w:szCs w:val="21"/>
          <w:highlight w:val="none"/>
          <w:lang w:eastAsia="zh-CN"/>
        </w:rPr>
      </w:pP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2</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经甲方委托的第三方咨询机构结算审计完成后1个月内，支付支至工程结算审计金额的95%，</w:t>
      </w:r>
      <w:r>
        <w:rPr>
          <w:rFonts w:hint="eastAsia" w:ascii="宋体" w:hAnsi="宋体"/>
          <w:color w:val="000000"/>
          <w:szCs w:val="21"/>
          <w:highlight w:val="none"/>
        </w:rPr>
        <w:t>甲方向乙方支付</w:t>
      </w:r>
      <w:r>
        <w:rPr>
          <w:rFonts w:hint="eastAsia" w:ascii="宋体" w:hAnsi="宋体"/>
          <w:color w:val="000000"/>
          <w:szCs w:val="21"/>
          <w:highlight w:val="none"/>
          <w:lang w:val="en-US" w:eastAsia="zh-CN"/>
        </w:rPr>
        <w:t>该笔</w:t>
      </w:r>
      <w:r>
        <w:rPr>
          <w:rFonts w:hint="eastAsia" w:ascii="宋体" w:hAnsi="宋体"/>
          <w:color w:val="000000"/>
          <w:szCs w:val="21"/>
          <w:highlight w:val="none"/>
        </w:rPr>
        <w:t>费用</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支付前</w:t>
      </w:r>
      <w:r>
        <w:rPr>
          <w:rFonts w:hint="eastAsia" w:ascii="宋体" w:hAnsi="宋体"/>
          <w:color w:val="000000"/>
          <w:szCs w:val="21"/>
          <w:highlight w:val="none"/>
        </w:rPr>
        <w:t>乙方</w:t>
      </w:r>
      <w:r>
        <w:rPr>
          <w:rFonts w:hint="eastAsia" w:ascii="宋体" w:hAnsi="宋体"/>
          <w:color w:val="000000"/>
          <w:szCs w:val="21"/>
          <w:highlight w:val="none"/>
          <w:lang w:val="en-US" w:eastAsia="zh-CN"/>
        </w:rPr>
        <w:t>须</w:t>
      </w:r>
      <w:r>
        <w:rPr>
          <w:rFonts w:hint="eastAsia" w:ascii="宋体" w:hAnsi="宋体"/>
          <w:color w:val="000000"/>
          <w:szCs w:val="21"/>
          <w:highlight w:val="none"/>
        </w:rPr>
        <w:t>开具等额正式</w:t>
      </w:r>
      <w:r>
        <w:rPr>
          <w:rFonts w:hint="eastAsia" w:ascii="宋体" w:hAnsi="宋体"/>
          <w:color w:val="000000"/>
          <w:szCs w:val="21"/>
          <w:highlight w:val="none"/>
          <w:lang w:val="en-US" w:eastAsia="zh-CN"/>
        </w:rPr>
        <w:t>增值税专用</w:t>
      </w:r>
      <w:r>
        <w:rPr>
          <w:rFonts w:hint="eastAsia" w:ascii="宋体" w:hAnsi="宋体"/>
          <w:color w:val="000000"/>
          <w:szCs w:val="21"/>
          <w:highlight w:val="none"/>
        </w:rPr>
        <w:t>发票</w:t>
      </w:r>
      <w:r>
        <w:rPr>
          <w:rFonts w:hint="eastAsia" w:ascii="宋体" w:hAnsi="宋体"/>
          <w:color w:val="000000"/>
          <w:szCs w:val="21"/>
          <w:highlight w:val="none"/>
          <w:lang w:eastAsia="zh-CN"/>
        </w:rPr>
        <w:t>。</w:t>
      </w:r>
    </w:p>
    <w:p w14:paraId="69BBBCCC">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rFonts w:hint="default" w:ascii="宋体" w:hAnsi="宋体"/>
          <w:b w:val="0"/>
          <w:bCs w:val="0"/>
          <w:color w:val="000000"/>
          <w:szCs w:val="21"/>
          <w:highlight w:val="yellow"/>
          <w:lang w:val="en-US" w:eastAsia="zh-CN"/>
        </w:rPr>
      </w:pPr>
      <w:r>
        <w:rPr>
          <w:rFonts w:hint="eastAsia" w:ascii="宋体" w:hAnsi="宋体"/>
          <w:color w:val="000000"/>
          <w:szCs w:val="21"/>
          <w:highlight w:val="none"/>
          <w:lang w:val="en-US" w:eastAsia="zh-CN"/>
        </w:rPr>
        <w:t>（3）剩余5%工程审定金额作为质保金，在工程缺陷责任期满后无息退还。</w:t>
      </w:r>
    </w:p>
    <w:p w14:paraId="67EC1A83">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rFonts w:hint="default" w:ascii="宋体" w:hAnsi="宋体"/>
          <w:b w:val="0"/>
          <w:bCs w:val="0"/>
          <w:color w:val="000000"/>
          <w:szCs w:val="21"/>
          <w:highlight w:val="none"/>
          <w:lang w:val="en-US" w:eastAsia="zh-CN"/>
        </w:rPr>
      </w:pPr>
    </w:p>
    <w:p w14:paraId="06E447F3">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rFonts w:hint="default" w:ascii="宋体" w:hAnsi="宋体"/>
          <w:color w:val="000000"/>
          <w:szCs w:val="21"/>
          <w:highlight w:val="none"/>
          <w:lang w:val="en-US" w:eastAsia="zh-CN"/>
        </w:rPr>
      </w:pPr>
    </w:p>
    <w:p w14:paraId="6E37E75F">
      <w:pPr>
        <w:pStyle w:val="2"/>
        <w:rPr>
          <w:rFonts w:hint="eastAsia"/>
          <w:lang w:eastAsia="zh-CN"/>
        </w:rPr>
      </w:pPr>
    </w:p>
    <w:p w14:paraId="1B96CD8E">
      <w:pPr>
        <w:pStyle w:val="2"/>
        <w:rPr>
          <w:highlight w:val="none"/>
        </w:rPr>
      </w:pPr>
    </w:p>
    <w:p w14:paraId="35EC2519">
      <w:pPr>
        <w:rPr>
          <w:highlight w:val="none"/>
        </w:rPr>
      </w:pPr>
      <w:r>
        <w:rPr>
          <w:rFonts w:hint="eastAsia" w:ascii="宋体" w:hAnsi="宋体"/>
          <w:highlight w:val="none"/>
          <w:lang w:val="en-US" w:eastAsia="zh-CN"/>
        </w:rPr>
        <w:br w:type="page"/>
      </w:r>
    </w:p>
    <w:p w14:paraId="0F1EA320">
      <w:pPr>
        <w:rPr>
          <w:highlight w:val="none"/>
        </w:rPr>
      </w:pPr>
    </w:p>
    <w:p w14:paraId="513DF5E5">
      <w:pPr>
        <w:pStyle w:val="3"/>
        <w:spacing w:line="360" w:lineRule="auto"/>
        <w:jc w:val="center"/>
        <w:rPr>
          <w:rFonts w:ascii="宋体" w:hAnsi="宋体"/>
          <w:sz w:val="36"/>
          <w:szCs w:val="36"/>
          <w:highlight w:val="none"/>
        </w:rPr>
      </w:pPr>
      <w:r>
        <w:rPr>
          <w:rFonts w:hint="eastAsia" w:ascii="宋体" w:hAnsi="宋体"/>
          <w:highlight w:val="none"/>
        </w:rPr>
        <w:t>第</w:t>
      </w:r>
      <w:r>
        <w:rPr>
          <w:rFonts w:hint="eastAsia" w:ascii="宋体" w:hAnsi="宋体"/>
          <w:highlight w:val="none"/>
          <w:lang w:val="en-US" w:eastAsia="zh-CN"/>
        </w:rPr>
        <w:t>五</w:t>
      </w:r>
      <w:r>
        <w:rPr>
          <w:rFonts w:hint="eastAsia" w:ascii="宋体" w:hAnsi="宋体"/>
          <w:highlight w:val="none"/>
        </w:rPr>
        <w:t>章  参选文件格式</w:t>
      </w:r>
    </w:p>
    <w:p w14:paraId="6E87C1F4">
      <w:pPr>
        <w:spacing w:line="360" w:lineRule="auto"/>
        <w:jc w:val="center"/>
        <w:outlineLvl w:val="0"/>
        <w:rPr>
          <w:rFonts w:ascii="宋体" w:hAnsi="宋体"/>
          <w:sz w:val="36"/>
          <w:szCs w:val="36"/>
          <w:highlight w:val="none"/>
        </w:rPr>
      </w:pPr>
      <w:r>
        <w:rPr>
          <w:rFonts w:hint="eastAsia" w:ascii="宋体" w:hAnsi="宋体"/>
          <w:sz w:val="36"/>
          <w:szCs w:val="36"/>
          <w:highlight w:val="none"/>
        </w:rPr>
        <w:t>目  录</w:t>
      </w:r>
    </w:p>
    <w:p w14:paraId="514E3838">
      <w:pPr>
        <w:spacing w:line="360" w:lineRule="auto"/>
        <w:jc w:val="center"/>
        <w:rPr>
          <w:rFonts w:ascii="宋体" w:hAnsi="宋体"/>
          <w:szCs w:val="20"/>
          <w:highlight w:val="none"/>
        </w:rPr>
      </w:pPr>
    </w:p>
    <w:p w14:paraId="396933FC">
      <w:pPr>
        <w:spacing w:line="360" w:lineRule="auto"/>
        <w:outlineLvl w:val="0"/>
        <w:rPr>
          <w:rFonts w:ascii="宋体" w:hAnsi="宋体"/>
          <w:b/>
          <w:highlight w:val="none"/>
        </w:rPr>
      </w:pPr>
      <w:r>
        <w:rPr>
          <w:rFonts w:hint="eastAsia" w:ascii="宋体" w:hAnsi="宋体"/>
          <w:b/>
          <w:highlight w:val="none"/>
        </w:rPr>
        <w:t>一</w:t>
      </w:r>
      <w:r>
        <w:rPr>
          <w:rFonts w:ascii="宋体" w:hAnsi="宋体"/>
          <w:b/>
          <w:highlight w:val="none"/>
        </w:rPr>
        <w:t>、</w:t>
      </w:r>
      <w:r>
        <w:rPr>
          <w:rFonts w:hint="eastAsia" w:ascii="宋体" w:hAnsi="宋体"/>
          <w:b/>
          <w:highlight w:val="none"/>
        </w:rPr>
        <w:t>报价文件</w:t>
      </w:r>
    </w:p>
    <w:p w14:paraId="77F73F06">
      <w:pPr>
        <w:spacing w:line="360" w:lineRule="auto"/>
        <w:ind w:firstLine="420" w:firstLineChars="200"/>
        <w:rPr>
          <w:rFonts w:ascii="宋体" w:hAnsi="宋体"/>
          <w:highlight w:val="none"/>
        </w:rPr>
      </w:pPr>
      <w:r>
        <w:rPr>
          <w:rFonts w:ascii="宋体" w:hAnsi="宋体"/>
          <w:highlight w:val="none"/>
        </w:rPr>
        <w:t>（一）参选函</w:t>
      </w:r>
    </w:p>
    <w:p w14:paraId="1D5F3C60">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rPr>
        <w:t>法定代表人身份证明或附有法定代表人身份证明的授权委托书</w:t>
      </w:r>
    </w:p>
    <w:p w14:paraId="60C6B56D">
      <w:pPr>
        <w:spacing w:line="360" w:lineRule="auto"/>
        <w:outlineLvl w:val="0"/>
        <w:rPr>
          <w:rFonts w:ascii="宋体" w:hAnsi="宋体"/>
          <w:b/>
          <w:highlight w:val="none"/>
        </w:rPr>
      </w:pPr>
      <w:r>
        <w:rPr>
          <w:rFonts w:hint="eastAsia" w:ascii="宋体" w:hAnsi="宋体"/>
          <w:b/>
          <w:highlight w:val="none"/>
        </w:rPr>
        <w:t>二</w:t>
      </w:r>
      <w:r>
        <w:rPr>
          <w:rFonts w:ascii="宋体" w:hAnsi="宋体"/>
          <w:b/>
          <w:highlight w:val="none"/>
        </w:rPr>
        <w:t>、技术部分</w:t>
      </w:r>
    </w:p>
    <w:p w14:paraId="1048E246">
      <w:pPr>
        <w:spacing w:line="360" w:lineRule="auto"/>
        <w:outlineLvl w:val="0"/>
        <w:rPr>
          <w:rFonts w:ascii="宋体" w:hAnsi="宋体"/>
          <w:b/>
          <w:highlight w:val="none"/>
        </w:rPr>
      </w:pPr>
      <w:r>
        <w:rPr>
          <w:rFonts w:hint="eastAsia" w:ascii="宋体" w:hAnsi="宋体"/>
          <w:b/>
          <w:highlight w:val="none"/>
        </w:rPr>
        <w:t>三</w:t>
      </w:r>
      <w:r>
        <w:rPr>
          <w:rFonts w:ascii="宋体" w:hAnsi="宋体"/>
          <w:b/>
          <w:highlight w:val="none"/>
        </w:rPr>
        <w:t>、</w:t>
      </w:r>
      <w:r>
        <w:rPr>
          <w:rFonts w:hint="eastAsia" w:ascii="宋体" w:hAnsi="宋体"/>
          <w:b/>
          <w:highlight w:val="none"/>
        </w:rPr>
        <w:t>资格审查部分</w:t>
      </w:r>
    </w:p>
    <w:p w14:paraId="4673A84C">
      <w:pPr>
        <w:spacing w:line="360" w:lineRule="auto"/>
        <w:ind w:firstLine="420" w:firstLineChars="200"/>
        <w:rPr>
          <w:rFonts w:ascii="宋体" w:hAnsi="宋体"/>
          <w:szCs w:val="21"/>
          <w:highlight w:val="none"/>
        </w:rPr>
      </w:pPr>
      <w:r>
        <w:rPr>
          <w:rFonts w:ascii="宋体" w:hAnsi="宋体"/>
          <w:szCs w:val="21"/>
          <w:highlight w:val="none"/>
        </w:rPr>
        <w:t>（一）</w:t>
      </w:r>
      <w:r>
        <w:rPr>
          <w:rFonts w:hint="eastAsia" w:ascii="宋体" w:hAnsi="宋体"/>
          <w:szCs w:val="21"/>
          <w:highlight w:val="none"/>
        </w:rPr>
        <w:t>营业执照</w:t>
      </w:r>
    </w:p>
    <w:p w14:paraId="33D98A88">
      <w:pPr>
        <w:spacing w:line="360" w:lineRule="auto"/>
        <w:ind w:firstLine="420" w:firstLineChars="200"/>
        <w:rPr>
          <w:rFonts w:ascii="宋体" w:hAnsi="宋体"/>
          <w:szCs w:val="21"/>
          <w:highlight w:val="none"/>
        </w:rPr>
      </w:pPr>
      <w:r>
        <w:rPr>
          <w:rFonts w:hint="eastAsia" w:ascii="宋体" w:hAnsi="宋体"/>
          <w:szCs w:val="21"/>
          <w:highlight w:val="none"/>
        </w:rPr>
        <w:t xml:space="preserve">（二）法定代表人身份证明或附有法定代表人身份证明的授权委托书                                                                                                  </w:t>
      </w:r>
    </w:p>
    <w:p w14:paraId="31472927">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三</w:t>
      </w:r>
      <w:r>
        <w:rPr>
          <w:rFonts w:ascii="宋体" w:hAnsi="宋体"/>
          <w:szCs w:val="21"/>
          <w:highlight w:val="none"/>
        </w:rPr>
        <w:t>）</w:t>
      </w:r>
      <w:r>
        <w:rPr>
          <w:rFonts w:hint="eastAsia" w:ascii="宋体" w:hAnsi="宋体"/>
          <w:szCs w:val="21"/>
          <w:highlight w:val="none"/>
        </w:rPr>
        <w:t>承诺</w:t>
      </w:r>
    </w:p>
    <w:p w14:paraId="05AF0350">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四</w:t>
      </w:r>
      <w:r>
        <w:rPr>
          <w:rFonts w:ascii="宋体" w:hAnsi="宋体"/>
          <w:szCs w:val="21"/>
          <w:highlight w:val="none"/>
        </w:rPr>
        <w:t>）其他资料</w:t>
      </w:r>
      <w:r>
        <w:rPr>
          <w:rFonts w:hint="eastAsia" w:ascii="宋体" w:hAnsi="宋体"/>
          <w:szCs w:val="21"/>
          <w:highlight w:val="none"/>
        </w:rPr>
        <w:t>（业绩证明材料等）</w:t>
      </w:r>
    </w:p>
    <w:p w14:paraId="0CEABDE6">
      <w:pPr>
        <w:pStyle w:val="2"/>
        <w:rPr>
          <w:rFonts w:ascii="宋体" w:hAnsi="宋体"/>
          <w:szCs w:val="21"/>
          <w:highlight w:val="none"/>
        </w:rPr>
      </w:pPr>
    </w:p>
    <w:p w14:paraId="24547990">
      <w:pPr>
        <w:keepNext/>
        <w:keepLines/>
        <w:spacing w:before="260" w:after="260" w:line="360" w:lineRule="auto"/>
        <w:jc w:val="center"/>
        <w:outlineLvl w:val="1"/>
        <w:rPr>
          <w:rFonts w:ascii="宋体" w:hAnsi="宋体"/>
          <w:sz w:val="44"/>
          <w:szCs w:val="44"/>
          <w:highlight w:val="none"/>
        </w:rPr>
        <w:sectPr>
          <w:footerReference r:id="rId4" w:type="default"/>
          <w:pgSz w:w="11906" w:h="16838"/>
          <w:pgMar w:top="1440" w:right="1800" w:bottom="1440" w:left="1800" w:header="851" w:footer="992" w:gutter="0"/>
          <w:cols w:space="720" w:num="1"/>
          <w:docGrid w:type="lines" w:linePitch="312" w:charSpace="0"/>
        </w:sectPr>
      </w:pPr>
    </w:p>
    <w:p w14:paraId="5F629B9B">
      <w:pPr>
        <w:keepNext/>
        <w:keepLines/>
        <w:spacing w:before="260" w:after="260" w:line="360" w:lineRule="auto"/>
        <w:jc w:val="center"/>
        <w:outlineLvl w:val="0"/>
        <w:rPr>
          <w:rFonts w:ascii="宋体" w:hAnsi="宋体"/>
          <w:sz w:val="44"/>
          <w:szCs w:val="44"/>
          <w:highlight w:val="none"/>
        </w:rPr>
      </w:pPr>
      <w:r>
        <w:rPr>
          <w:rFonts w:hint="eastAsia" w:ascii="宋体" w:hAnsi="宋体"/>
          <w:sz w:val="44"/>
          <w:szCs w:val="44"/>
          <w:highlight w:val="none"/>
        </w:rPr>
        <w:t>一、报价文件</w:t>
      </w:r>
    </w:p>
    <w:p w14:paraId="2A924044">
      <w:pPr>
        <w:tabs>
          <w:tab w:val="left" w:pos="6300"/>
        </w:tabs>
        <w:snapToGrid w:val="0"/>
        <w:spacing w:line="312" w:lineRule="auto"/>
        <w:ind w:firstLine="480" w:firstLineChars="200"/>
        <w:outlineLvl w:val="1"/>
        <w:rPr>
          <w:rFonts w:ascii="宋体" w:hAnsi="宋体" w:cs="宋体"/>
          <w:bCs/>
          <w:sz w:val="24"/>
          <w:highlight w:val="none"/>
        </w:rPr>
      </w:pPr>
      <w:r>
        <w:rPr>
          <w:rFonts w:hint="eastAsia" w:ascii="宋体" w:hAnsi="宋体" w:cs="宋体"/>
          <w:bCs/>
          <w:sz w:val="24"/>
          <w:highlight w:val="none"/>
        </w:rPr>
        <w:t>（一）参选报价函</w:t>
      </w:r>
    </w:p>
    <w:p w14:paraId="18136D46">
      <w:pPr>
        <w:spacing w:line="500" w:lineRule="exact"/>
        <w:jc w:val="center"/>
        <w:rPr>
          <w:rFonts w:ascii="方正小标宋_GBK" w:hAnsi="方正小标宋_GBK" w:eastAsia="方正小标宋_GBK" w:cs="方正小标宋_GBK"/>
          <w:b w:val="0"/>
          <w:bCs w:val="0"/>
          <w:sz w:val="36"/>
          <w:szCs w:val="36"/>
          <w:highlight w:val="none"/>
        </w:rPr>
      </w:pPr>
      <w:r>
        <w:rPr>
          <w:rFonts w:hint="eastAsia" w:ascii="方正小标宋_GBK" w:hAnsi="方正小标宋_GBK" w:eastAsia="方正小标宋_GBK" w:cs="方正小标宋_GBK"/>
          <w:b w:val="0"/>
          <w:bCs w:val="0"/>
          <w:sz w:val="36"/>
          <w:szCs w:val="36"/>
          <w:highlight w:val="none"/>
        </w:rPr>
        <w:t>《</w:t>
      </w:r>
      <w:r>
        <w:rPr>
          <w:rFonts w:hint="eastAsia" w:ascii="方正小标宋_GBK" w:hAnsi="方正小标宋_GBK" w:eastAsia="方正小标宋_GBK" w:cs="方正小标宋_GBK"/>
          <w:b w:val="0"/>
          <w:bCs w:val="0"/>
          <w:sz w:val="36"/>
          <w:szCs w:val="36"/>
          <w:highlight w:val="none"/>
          <w:lang w:val="en-US" w:eastAsia="zh-CN"/>
        </w:rPr>
        <w:t>阿依河景区重要节点艺术装置及展陈提升EPC工程</w:t>
      </w:r>
      <w:r>
        <w:rPr>
          <w:rFonts w:hint="eastAsia" w:ascii="方正小标宋_GBK" w:hAnsi="方正小标宋_GBK" w:eastAsia="方正小标宋_GBK" w:cs="方正小标宋_GBK"/>
          <w:b w:val="0"/>
          <w:bCs w:val="0"/>
          <w:sz w:val="36"/>
          <w:szCs w:val="36"/>
          <w:highlight w:val="none"/>
        </w:rPr>
        <w:t>》公开比选文件报价函</w:t>
      </w:r>
    </w:p>
    <w:p w14:paraId="69ADB5CE">
      <w:pPr>
        <w:spacing w:line="260" w:lineRule="exact"/>
        <w:jc w:val="left"/>
        <w:rPr>
          <w:rFonts w:hint="eastAsia" w:ascii="方正仿宋_GBK" w:hAnsi="方正仿宋_GBK" w:eastAsia="方正仿宋_GBK" w:cs="方正仿宋_GBK"/>
          <w:sz w:val="24"/>
          <w:highlight w:val="none"/>
        </w:rPr>
      </w:pPr>
    </w:p>
    <w:p w14:paraId="1D1E440B">
      <w:pPr>
        <w:spacing w:line="260" w:lineRule="exact"/>
        <w:jc w:val="left"/>
        <w:rPr>
          <w:rFonts w:hint="eastAsia" w:ascii="方正仿宋_GBK" w:hAnsi="方正仿宋_GBK" w:eastAsia="方正仿宋_GBK" w:cs="方正仿宋_GBK"/>
          <w:sz w:val="24"/>
          <w:highlight w:val="none"/>
        </w:rPr>
      </w:pPr>
    </w:p>
    <w:p w14:paraId="7F41D411">
      <w:pPr>
        <w:spacing w:line="260" w:lineRule="exact"/>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致</w:t>
      </w:r>
      <w:r>
        <w:rPr>
          <w:rFonts w:hint="eastAsia" w:ascii="方正仿宋_GBK" w:hAnsi="方正仿宋_GBK" w:eastAsia="方正仿宋_GBK" w:cs="方正仿宋_GBK"/>
          <w:sz w:val="24"/>
          <w:highlight w:val="none"/>
          <w:lang w:val="en-US" w:eastAsia="zh-CN"/>
        </w:rPr>
        <w:t>重庆乌江画廊旅游开发有限公司阿依河分公司</w:t>
      </w:r>
      <w:r>
        <w:rPr>
          <w:rFonts w:hint="eastAsia" w:ascii="方正仿宋_GBK" w:hAnsi="方正仿宋_GBK" w:eastAsia="方正仿宋_GBK" w:cs="方正仿宋_GBK"/>
          <w:sz w:val="24"/>
          <w:highlight w:val="none"/>
        </w:rPr>
        <w:t>：</w:t>
      </w:r>
    </w:p>
    <w:p w14:paraId="234FDBE9">
      <w:pPr>
        <w:spacing w:line="260" w:lineRule="exact"/>
        <w:ind w:firstLine="480"/>
        <w:jc w:val="left"/>
        <w:rPr>
          <w:highlight w:val="none"/>
        </w:rPr>
      </w:pPr>
      <w:r>
        <w:rPr>
          <w:rFonts w:hint="eastAsia" w:ascii="方正仿宋_GBK" w:hAnsi="方正仿宋_GBK" w:eastAsia="方正仿宋_GBK" w:cs="方正仿宋_GBK"/>
          <w:sz w:val="24"/>
          <w:highlight w:val="none"/>
        </w:rPr>
        <w:t>我方根据贵司关于《</w:t>
      </w:r>
      <w:r>
        <w:rPr>
          <w:rFonts w:hint="eastAsia" w:ascii="方正仿宋_GBK" w:hAnsi="方正仿宋_GBK" w:eastAsia="方正仿宋_GBK" w:cs="方正仿宋_GBK"/>
          <w:sz w:val="24"/>
          <w:highlight w:val="none"/>
          <w:lang w:val="en-US" w:eastAsia="zh-CN"/>
        </w:rPr>
        <w:t>阿依河景区重要节点艺术装置及展陈提升EPC工程</w:t>
      </w:r>
      <w:r>
        <w:rPr>
          <w:rFonts w:hint="eastAsia" w:ascii="方正仿宋_GBK" w:hAnsi="方正仿宋_GBK" w:eastAsia="方正仿宋_GBK" w:cs="方正仿宋_GBK"/>
          <w:sz w:val="24"/>
          <w:highlight w:val="none"/>
        </w:rPr>
        <w:t>》的要求，通过委任的全权代表，向贵方递交密封册装的全套报价文件参与下列项目的投标报价，现为我方的一切投标行为作郑重承诺及声明如下：</w:t>
      </w:r>
    </w:p>
    <w:p w14:paraId="3C9FA5A8">
      <w:pPr>
        <w:spacing w:line="260" w:lineRule="exact"/>
        <w:ind w:firstLine="480"/>
        <w:jc w:val="left"/>
        <w:rPr>
          <w:rFonts w:ascii="方正仿宋_GBK" w:hAnsi="方正仿宋_GBK" w:eastAsia="方正仿宋_GBK" w:cs="方正仿宋_GBK"/>
          <w:sz w:val="24"/>
          <w:highlight w:val="none"/>
          <w:lang w:val="zh-CN"/>
        </w:rPr>
      </w:pPr>
      <w:r>
        <w:rPr>
          <w:rFonts w:hint="eastAsia" w:ascii="方正仿宋_GBK" w:hAnsi="方正仿宋_GBK" w:eastAsia="方正仿宋_GBK" w:cs="方正仿宋_GBK"/>
          <w:sz w:val="24"/>
          <w:highlight w:val="none"/>
        </w:rPr>
        <w:t>1</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报价项目名称：《</w:t>
      </w:r>
      <w:r>
        <w:rPr>
          <w:rFonts w:hint="eastAsia" w:ascii="方正仿宋_GBK" w:hAnsi="方正仿宋_GBK" w:eastAsia="方正仿宋_GBK" w:cs="方正仿宋_GBK"/>
          <w:sz w:val="24"/>
          <w:highlight w:val="none"/>
          <w:lang w:val="en-US" w:eastAsia="zh-CN"/>
        </w:rPr>
        <w:t>阿依河景区重要节点艺术装置及展陈提升EPC工程</w:t>
      </w:r>
      <w:r>
        <w:rPr>
          <w:rFonts w:hint="eastAsia" w:ascii="方正仿宋_GBK" w:hAnsi="方正仿宋_GBK" w:eastAsia="方正仿宋_GBK" w:cs="方正仿宋_GBK"/>
          <w:sz w:val="24"/>
          <w:highlight w:val="none"/>
        </w:rPr>
        <w:t>》</w:t>
      </w:r>
    </w:p>
    <w:p w14:paraId="26EA60DE">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我方已认真阅读了全部比选文件及其相关文件，完全清楚理解其内容及规约，明白该项目为风险合作，同意接受文件的要求，均没有任何异议、质疑和误解之处。</w:t>
      </w:r>
    </w:p>
    <w:p w14:paraId="6BD4F908">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我方所提供的一切文件均已经过认真、严格的审核，其内容均为合法真实、准确有效且毫无遗漏和保留，绝无任何虚假、伪造和夸大的成份，若出现违背诚实信用和无如实告知之处，愿独自承担相应的法律责任。</w:t>
      </w:r>
    </w:p>
    <w:p w14:paraId="477B8755">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4</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报价有效期为自递交报价文件起至确定为中标人，若我方获成交资格，报价有效期则相应延长至项目最终验收合格并结算完毕之日，不论在任何时候，定将按贵方的要求在规定时间内保质保量的完成服务任务。</w:t>
      </w:r>
    </w:p>
    <w:p w14:paraId="68288D55">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5</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完全服从和尊重评审结果和决定，同时清楚理解到仅凭投标报价或单一竞争优势并非是决定成交资格的唯一重要依据。</w:t>
      </w:r>
    </w:p>
    <w:p w14:paraId="01FF837C">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6</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同意按报价文件要求认真履行成交人的义务，若我方行为不当而损害了贵方的合法权益，我方愿在任何时候无条件承担相应的缔约过失责任和经济赔偿。</w:t>
      </w:r>
    </w:p>
    <w:p w14:paraId="3DA08C4E">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7</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我方在参与本次比选活动中，不曾以任何不正当的手段影响、串通、排斥有关当事人或谋取、施予非法利益，如有行为不当，愿独自承担此行为所造成的后果和法律责任。</w:t>
      </w:r>
    </w:p>
    <w:p w14:paraId="3DA9F609">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8</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 xml:space="preserve">本承诺函效力及范围均涵盖整套报价文件和一切补充文件。 </w:t>
      </w:r>
    </w:p>
    <w:p w14:paraId="0643AC11">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9</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该报价包括但不限于人工费、差旅费、调研费、专家费、数据采集、IP资源整合、信息搭建、数据维运、模块设计、商业测算、模型测试等费用。</w:t>
      </w:r>
    </w:p>
    <w:p w14:paraId="6011EDF6">
      <w:pPr>
        <w:spacing w:line="260" w:lineRule="exact"/>
        <w:ind w:firstLine="480" w:firstLineChars="200"/>
        <w:jc w:val="left"/>
        <w:rPr>
          <w:rFonts w:hint="eastAsia" w:ascii="方正仿宋_GBK" w:hAnsi="方正仿宋_GBK" w:eastAsia="方正仿宋_GBK" w:cs="方正仿宋_GBK"/>
          <w:sz w:val="24"/>
          <w:highlight w:val="none"/>
          <w:vertAlign w:val="baseline"/>
        </w:rPr>
      </w:pPr>
      <w:r>
        <w:rPr>
          <w:rFonts w:hint="eastAsia" w:ascii="方正仿宋_GBK" w:hAnsi="方正仿宋_GBK" w:eastAsia="方正仿宋_GBK" w:cs="方正仿宋_GBK"/>
          <w:sz w:val="24"/>
          <w:highlight w:val="none"/>
        </w:rPr>
        <w:t>10</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我方愿意以按照服务内容中的一切要求，提供本项目的所有服务，报价如下：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575"/>
        <w:gridCol w:w="2648"/>
        <w:gridCol w:w="2257"/>
        <w:gridCol w:w="1271"/>
      </w:tblGrid>
      <w:tr w14:paraId="625F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 w:type="dxa"/>
            <w:noWrap w:val="0"/>
            <w:vAlign w:val="center"/>
          </w:tcPr>
          <w:p w14:paraId="3C6417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序号</w:t>
            </w:r>
          </w:p>
        </w:tc>
        <w:tc>
          <w:tcPr>
            <w:tcW w:w="1575" w:type="dxa"/>
            <w:noWrap w:val="0"/>
            <w:vAlign w:val="center"/>
          </w:tcPr>
          <w:p w14:paraId="7941A3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名称</w:t>
            </w:r>
          </w:p>
        </w:tc>
        <w:tc>
          <w:tcPr>
            <w:tcW w:w="2648" w:type="dxa"/>
            <w:noWrap w:val="0"/>
            <w:vAlign w:val="center"/>
          </w:tcPr>
          <w:p w14:paraId="7D48F1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设计费限价/最高固定费率</w:t>
            </w:r>
          </w:p>
        </w:tc>
        <w:tc>
          <w:tcPr>
            <w:tcW w:w="2257" w:type="dxa"/>
            <w:noWrap w:val="0"/>
            <w:vAlign w:val="center"/>
          </w:tcPr>
          <w:p w14:paraId="2765C5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报价</w:t>
            </w:r>
          </w:p>
        </w:tc>
        <w:tc>
          <w:tcPr>
            <w:tcW w:w="1271" w:type="dxa"/>
            <w:noWrap w:val="0"/>
            <w:vAlign w:val="center"/>
          </w:tcPr>
          <w:p w14:paraId="6F4B8C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备注</w:t>
            </w:r>
          </w:p>
        </w:tc>
      </w:tr>
      <w:tr w14:paraId="5C9B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09AEAE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1</w:t>
            </w:r>
          </w:p>
        </w:tc>
        <w:tc>
          <w:tcPr>
            <w:tcW w:w="1575" w:type="dxa"/>
            <w:noWrap w:val="0"/>
            <w:vAlign w:val="center"/>
          </w:tcPr>
          <w:p w14:paraId="0FDCD9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设计费</w:t>
            </w:r>
          </w:p>
        </w:tc>
        <w:tc>
          <w:tcPr>
            <w:tcW w:w="2648" w:type="dxa"/>
            <w:noWrap w:val="0"/>
            <w:vAlign w:val="center"/>
          </w:tcPr>
          <w:p w14:paraId="44C300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rPr>
            </w:pPr>
            <w:r>
              <w:rPr>
                <w:rFonts w:hint="eastAsia" w:ascii="方正仿宋_GBK" w:hAnsi="方正仿宋_GBK" w:eastAsia="方正仿宋_GBK" w:cs="方正仿宋_GBK"/>
                <w:sz w:val="24"/>
                <w:highlight w:val="none"/>
                <w:vertAlign w:val="baseline"/>
                <w:lang w:val="en-US" w:eastAsia="zh-CN"/>
              </w:rPr>
              <w:t>30568.5元</w:t>
            </w:r>
          </w:p>
        </w:tc>
        <w:tc>
          <w:tcPr>
            <w:tcW w:w="2257" w:type="dxa"/>
            <w:noWrap w:val="0"/>
            <w:vAlign w:val="center"/>
          </w:tcPr>
          <w:p w14:paraId="08D845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highlight w:val="none"/>
                <w:vertAlign w:val="baseline"/>
              </w:rPr>
            </w:pPr>
          </w:p>
        </w:tc>
        <w:tc>
          <w:tcPr>
            <w:tcW w:w="1271" w:type="dxa"/>
            <w:noWrap w:val="0"/>
            <w:vAlign w:val="center"/>
          </w:tcPr>
          <w:p w14:paraId="5A5AEF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highlight w:val="none"/>
                <w:vertAlign w:val="baseline"/>
              </w:rPr>
            </w:pPr>
          </w:p>
        </w:tc>
      </w:tr>
      <w:tr w14:paraId="7901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6F9226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2</w:t>
            </w:r>
          </w:p>
        </w:tc>
        <w:tc>
          <w:tcPr>
            <w:tcW w:w="1575" w:type="dxa"/>
            <w:noWrap w:val="0"/>
            <w:vAlign w:val="center"/>
          </w:tcPr>
          <w:p w14:paraId="6C174F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工程费</w:t>
            </w:r>
          </w:p>
        </w:tc>
        <w:tc>
          <w:tcPr>
            <w:tcW w:w="2648" w:type="dxa"/>
            <w:noWrap w:val="0"/>
            <w:vAlign w:val="center"/>
          </w:tcPr>
          <w:p w14:paraId="6C9D8A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92%</w:t>
            </w:r>
          </w:p>
        </w:tc>
        <w:tc>
          <w:tcPr>
            <w:tcW w:w="2257" w:type="dxa"/>
            <w:noWrap w:val="0"/>
            <w:vAlign w:val="center"/>
          </w:tcPr>
          <w:p w14:paraId="4CD18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highlight w:val="none"/>
                <w:vertAlign w:val="baseline"/>
              </w:rPr>
            </w:pPr>
          </w:p>
        </w:tc>
        <w:tc>
          <w:tcPr>
            <w:tcW w:w="1271" w:type="dxa"/>
            <w:noWrap w:val="0"/>
            <w:vAlign w:val="center"/>
          </w:tcPr>
          <w:p w14:paraId="3C9DED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highlight w:val="none"/>
                <w:vertAlign w:val="baseline"/>
              </w:rPr>
            </w:pPr>
          </w:p>
        </w:tc>
      </w:tr>
      <w:tr w14:paraId="265E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44175D0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4"/>
                <w:highlight w:val="none"/>
                <w:vertAlign w:val="baseline"/>
              </w:rPr>
            </w:pPr>
            <w:r>
              <w:rPr>
                <w:rFonts w:hint="eastAsia" w:ascii="方正仿宋_GBK" w:hAnsi="方正仿宋_GBK" w:eastAsia="方正仿宋_GBK" w:cs="方正仿宋_GBK"/>
                <w:sz w:val="24"/>
                <w:highlight w:val="none"/>
                <w:vertAlign w:val="baseline"/>
              </w:rPr>
              <w:t>注：</w:t>
            </w:r>
            <w:r>
              <w:rPr>
                <w:rFonts w:hint="eastAsia" w:ascii="方正仿宋_GBK" w:hAnsi="方正仿宋_GBK" w:eastAsia="方正仿宋_GBK" w:cs="方正仿宋_GBK"/>
                <w:sz w:val="24"/>
                <w:highlight w:val="none"/>
                <w:vertAlign w:val="baseline"/>
                <w:lang w:eastAsia="zh-CN"/>
              </w:rPr>
              <w:t>“</w:t>
            </w:r>
            <w:r>
              <w:rPr>
                <w:rFonts w:hint="eastAsia" w:ascii="方正仿宋_GBK" w:hAnsi="方正仿宋_GBK" w:eastAsia="方正仿宋_GBK" w:cs="方正仿宋_GBK"/>
                <w:sz w:val="24"/>
                <w:highlight w:val="none"/>
                <w:vertAlign w:val="baseline"/>
                <w:lang w:val="en-US" w:eastAsia="zh-CN"/>
              </w:rPr>
              <w:t>报价一栏填报时</w:t>
            </w:r>
            <w:r>
              <w:rPr>
                <w:rFonts w:hint="eastAsia" w:ascii="方正仿宋_GBK" w:hAnsi="方正仿宋_GBK" w:eastAsia="方正仿宋_GBK" w:cs="方正仿宋_GBK"/>
                <w:sz w:val="24"/>
                <w:highlight w:val="none"/>
                <w:vertAlign w:val="baseline"/>
                <w:lang w:eastAsia="zh-CN"/>
              </w:rPr>
              <w:t>”</w:t>
            </w:r>
            <w:r>
              <w:rPr>
                <w:rFonts w:hint="eastAsia" w:ascii="方正仿宋_GBK" w:hAnsi="方正仿宋_GBK" w:eastAsia="方正仿宋_GBK" w:cs="方正仿宋_GBK"/>
                <w:sz w:val="24"/>
                <w:highlight w:val="none"/>
                <w:vertAlign w:val="baseline"/>
                <w:lang w:val="en-US" w:eastAsia="zh-CN"/>
              </w:rPr>
              <w:t xml:space="preserve">，应参照“设计费限价/最高固定费率”一栏格式填报 </w:t>
            </w:r>
            <w:r>
              <w:rPr>
                <w:rFonts w:hint="eastAsia" w:ascii="方正仿宋_GBK" w:hAnsi="方正仿宋_GBK" w:eastAsia="方正仿宋_GBK" w:cs="方正仿宋_GBK"/>
                <w:sz w:val="24"/>
                <w:highlight w:val="none"/>
                <w:vertAlign w:val="baseline"/>
              </w:rPr>
              <w:t>。</w:t>
            </w:r>
          </w:p>
        </w:tc>
      </w:tr>
    </w:tbl>
    <w:p w14:paraId="6A0FD2A3">
      <w:pPr>
        <w:spacing w:line="260" w:lineRule="exact"/>
        <w:ind w:firstLine="480" w:firstLineChars="200"/>
        <w:jc w:val="left"/>
        <w:rPr>
          <w:rFonts w:hint="eastAsia" w:ascii="方正仿宋_GBK" w:hAnsi="方正仿宋_GBK" w:eastAsia="方正仿宋_GBK" w:cs="方正仿宋_GBK"/>
          <w:sz w:val="24"/>
          <w:highlight w:val="none"/>
        </w:rPr>
      </w:pPr>
    </w:p>
    <w:p w14:paraId="44B2177A">
      <w:pPr>
        <w:spacing w:line="260" w:lineRule="exact"/>
        <w:ind w:firstLine="480" w:firstLineChars="200"/>
        <w:jc w:val="left"/>
        <w:rPr>
          <w:highlight w:val="none"/>
        </w:rPr>
      </w:pPr>
      <w:r>
        <w:rPr>
          <w:rFonts w:hint="eastAsia" w:ascii="方正仿宋_GBK" w:hAnsi="方正仿宋_GBK" w:eastAsia="方正仿宋_GBK" w:cs="方正仿宋_GBK"/>
          <w:sz w:val="24"/>
          <w:highlight w:val="none"/>
        </w:rPr>
        <w:t>公司承诺：待甲方通过项目投资决策后，甲方与乙方签订合作协议，其</w:t>
      </w:r>
      <w:r>
        <w:rPr>
          <w:rFonts w:hint="eastAsia" w:ascii="方正仿宋_GBK" w:hAnsi="方正仿宋_GBK" w:eastAsia="方正仿宋_GBK" w:cs="方正仿宋_GBK"/>
          <w:sz w:val="24"/>
          <w:highlight w:val="none"/>
          <w:lang w:val="en-US" w:eastAsia="zh-CN"/>
        </w:rPr>
        <w:t>相关</w:t>
      </w:r>
      <w:r>
        <w:rPr>
          <w:rFonts w:hint="eastAsia" w:ascii="方正仿宋_GBK" w:hAnsi="方正仿宋_GBK" w:eastAsia="方正仿宋_GBK" w:cs="方正仿宋_GBK"/>
          <w:sz w:val="24"/>
          <w:highlight w:val="none"/>
        </w:rPr>
        <w:t>阶段</w:t>
      </w:r>
      <w:r>
        <w:rPr>
          <w:rFonts w:hint="eastAsia" w:ascii="方正仿宋_GBK" w:hAnsi="方正仿宋_GBK" w:eastAsia="方正仿宋_GBK" w:cs="方正仿宋_GBK"/>
          <w:sz w:val="24"/>
          <w:highlight w:val="none"/>
          <w:lang w:val="en-US" w:eastAsia="zh-CN"/>
        </w:rPr>
        <w:t>工作</w:t>
      </w:r>
      <w:r>
        <w:rPr>
          <w:rFonts w:hint="eastAsia" w:ascii="方正仿宋_GBK" w:hAnsi="方正仿宋_GBK" w:eastAsia="方正仿宋_GBK" w:cs="方正仿宋_GBK"/>
          <w:sz w:val="24"/>
          <w:highlight w:val="none"/>
        </w:rPr>
        <w:t>的启动，以甲方正式通知为准</w:t>
      </w: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各阶段工作完成后，按照合同约定的结算原则结算；</w:t>
      </w:r>
      <w:r>
        <w:rPr>
          <w:rFonts w:hint="eastAsia" w:ascii="方正仿宋_GBK" w:hAnsi="方正仿宋_GBK" w:eastAsia="方正仿宋_GBK" w:cs="方正仿宋_GBK"/>
          <w:sz w:val="24"/>
          <w:highlight w:val="none"/>
        </w:rPr>
        <w:t>若贵司未启动投资决策或未通过投资决策，则比选结果作废，终止合作。</w:t>
      </w:r>
    </w:p>
    <w:p w14:paraId="116C639E">
      <w:pPr>
        <w:spacing w:line="260" w:lineRule="exact"/>
        <w:jc w:val="left"/>
        <w:rPr>
          <w:rFonts w:hint="eastAsia" w:ascii="方正仿宋_GBK" w:hAnsi="方正仿宋_GBK" w:eastAsia="方正仿宋_GBK" w:cs="方正仿宋_GBK"/>
          <w:sz w:val="24"/>
          <w:highlight w:val="none"/>
        </w:rPr>
      </w:pPr>
    </w:p>
    <w:p w14:paraId="23CE1749">
      <w:pPr>
        <w:spacing w:line="260" w:lineRule="exact"/>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报价人名称</w:t>
      </w:r>
      <w:r>
        <w:rPr>
          <w:rFonts w:hint="eastAsia" w:ascii="方正仿宋_GBK" w:hAnsi="方正仿宋_GBK" w:eastAsia="方正仿宋_GBK" w:cs="方正仿宋_GBK"/>
          <w:sz w:val="24"/>
          <w:highlight w:val="none"/>
          <w:u w:val="single"/>
        </w:rPr>
        <w:t>：</w:t>
      </w:r>
      <w:r>
        <w:rPr>
          <w:rFonts w:hint="eastAsia" w:ascii="方正仿宋_GBK" w:hAnsi="方正仿宋_GBK" w:eastAsia="方正仿宋_GBK" w:cs="方正仿宋_GBK"/>
          <w:sz w:val="24"/>
          <w:highlight w:val="none"/>
          <w:u w:val="single"/>
          <w:lang w:val="en-US" w:eastAsia="zh-CN"/>
        </w:rPr>
        <w:t xml:space="preserve">      </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u w:val="single"/>
          <w:lang w:val="en-US" w:eastAsia="zh-CN"/>
        </w:rPr>
        <w:t xml:space="preserve">   </w:t>
      </w:r>
      <w:r>
        <w:rPr>
          <w:rFonts w:hint="eastAsia" w:ascii="方正仿宋_GBK" w:hAnsi="方正仿宋_GBK" w:eastAsia="方正仿宋_GBK" w:cs="方正仿宋_GBK"/>
          <w:sz w:val="24"/>
          <w:highlight w:val="none"/>
          <w:u w:val="single"/>
        </w:rPr>
        <w:t xml:space="preserve">        （加盖公章）。</w:t>
      </w:r>
    </w:p>
    <w:p w14:paraId="18C4EEB1">
      <w:pPr>
        <w:spacing w:line="260" w:lineRule="exact"/>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负责人（代理人）：</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（签名或签章） 联系电话：</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u w:val="dotted"/>
        </w:rPr>
        <w:t xml:space="preserve">      </w:t>
      </w:r>
      <w:r>
        <w:rPr>
          <w:rFonts w:hint="eastAsia" w:ascii="方正仿宋_GBK" w:hAnsi="方正仿宋_GBK" w:eastAsia="方正仿宋_GBK" w:cs="方正仿宋_GBK"/>
          <w:sz w:val="24"/>
          <w:highlight w:val="none"/>
        </w:rPr>
        <w:t xml:space="preserve">  </w:t>
      </w:r>
    </w:p>
    <w:p w14:paraId="360F630C">
      <w:pPr>
        <w:tabs>
          <w:tab w:val="left" w:pos="-3780"/>
        </w:tabs>
        <w:spacing w:line="260" w:lineRule="exact"/>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日期：202</w:t>
      </w:r>
      <w:r>
        <w:rPr>
          <w:rFonts w:hint="eastAsia" w:ascii="方正仿宋_GBK" w:hAnsi="方正仿宋_GBK" w:eastAsia="方正仿宋_GBK" w:cs="方正仿宋_GBK"/>
          <w:sz w:val="24"/>
          <w:highlight w:val="none"/>
          <w:lang w:val="en-US" w:eastAsia="zh-CN"/>
        </w:rPr>
        <w:t>6</w:t>
      </w:r>
      <w:r>
        <w:rPr>
          <w:rFonts w:hint="eastAsia" w:ascii="方正仿宋_GBK" w:hAnsi="方正仿宋_GBK" w:eastAsia="方正仿宋_GBK" w:cs="方正仿宋_GBK"/>
          <w:sz w:val="24"/>
          <w:highlight w:val="none"/>
        </w:rPr>
        <w:t>年    月    日</w:t>
      </w:r>
    </w:p>
    <w:p w14:paraId="35446FEA">
      <w:pPr>
        <w:tabs>
          <w:tab w:val="left" w:pos="420"/>
        </w:tabs>
        <w:spacing w:line="260" w:lineRule="exact"/>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说明：1、不具备法人资格的报价人，须与设立主管的法人机构同时加盖公章。</w:t>
      </w:r>
    </w:p>
    <w:p w14:paraId="6FB982DF">
      <w:pPr>
        <w:numPr>
          <w:ilvl w:val="0"/>
          <w:numId w:val="0"/>
        </w:numPr>
        <w:tabs>
          <w:tab w:val="left" w:pos="420"/>
        </w:tabs>
        <w:spacing w:line="260" w:lineRule="exact"/>
        <w:ind w:firstLine="720" w:firstLineChars="300"/>
        <w:jc w:val="left"/>
        <w:rPr>
          <w:highlight w:val="none"/>
        </w:rPr>
      </w:pPr>
      <w:r>
        <w:rPr>
          <w:rFonts w:hint="eastAsia" w:ascii="方正仿宋_GBK" w:hAnsi="方正仿宋_GBK" w:eastAsia="方正仿宋_GBK" w:cs="方正仿宋_GBK"/>
          <w:sz w:val="24"/>
          <w:highlight w:val="none"/>
          <w:lang w:val="en-US" w:eastAsia="zh-CN"/>
        </w:rPr>
        <w:t>2、</w:t>
      </w:r>
      <w:r>
        <w:rPr>
          <w:rFonts w:hint="eastAsia" w:ascii="方正仿宋_GBK" w:hAnsi="方正仿宋_GBK" w:eastAsia="方正仿宋_GBK" w:cs="方正仿宋_GBK"/>
          <w:sz w:val="24"/>
          <w:highlight w:val="none"/>
        </w:rPr>
        <w:t>本承诺函内容若擅自删改，按废标处理。</w:t>
      </w:r>
    </w:p>
    <w:p w14:paraId="7353B760">
      <w:pPr>
        <w:rPr>
          <w:highlight w:val="none"/>
        </w:rPr>
      </w:pPr>
    </w:p>
    <w:p w14:paraId="68E76841">
      <w:pPr>
        <w:rPr>
          <w:highlight w:val="none"/>
        </w:rPr>
      </w:pPr>
      <w:r>
        <w:rPr>
          <w:highlight w:val="none"/>
        </w:rPr>
        <w:br w:type="page"/>
      </w:r>
    </w:p>
    <w:p w14:paraId="70036665"/>
    <w:p w14:paraId="18A7BE8A">
      <w:pPr>
        <w:tabs>
          <w:tab w:val="left" w:pos="6300"/>
        </w:tabs>
        <w:snapToGrid w:val="0"/>
        <w:spacing w:line="312" w:lineRule="auto"/>
        <w:jc w:val="center"/>
        <w:outlineLvl w:val="1"/>
        <w:rPr>
          <w:rFonts w:ascii="宋体" w:hAnsi="宋体" w:cs="宋体"/>
          <w:bCs/>
          <w:sz w:val="24"/>
          <w:highlight w:val="none"/>
        </w:rPr>
      </w:pPr>
      <w:r>
        <w:rPr>
          <w:rFonts w:hint="eastAsia" w:ascii="宋体" w:hAnsi="宋体" w:cs="宋体"/>
          <w:bCs/>
          <w:sz w:val="24"/>
          <w:highlight w:val="none"/>
        </w:rPr>
        <w:t>（二）法定代表人身份证明或附有法定代表人身份证明的授权委托书</w:t>
      </w:r>
    </w:p>
    <w:p w14:paraId="6A6A989F">
      <w:pPr>
        <w:spacing w:line="500" w:lineRule="exact"/>
        <w:jc w:val="center"/>
        <w:rPr>
          <w:rFonts w:ascii="方正小标宋_GBK" w:hAnsi="方正小标宋_GBK" w:eastAsia="方正小标宋_GBK" w:cs="方正小标宋_GBK"/>
          <w:b/>
          <w:bCs/>
          <w:sz w:val="32"/>
          <w:szCs w:val="32"/>
          <w:highlight w:val="none"/>
        </w:rPr>
      </w:pPr>
    </w:p>
    <w:p w14:paraId="1226A2C2">
      <w:pPr>
        <w:spacing w:line="500" w:lineRule="exact"/>
        <w:jc w:val="center"/>
        <w:outlineLvl w:val="1"/>
        <w:rPr>
          <w:rFonts w:ascii="方正小标宋_GBK" w:hAnsi="方正小标宋_GBK" w:eastAsia="方正小标宋_GBK" w:cs="方正小标宋_GBK"/>
          <w:b/>
          <w:bCs/>
          <w:sz w:val="32"/>
          <w:szCs w:val="32"/>
          <w:highlight w:val="none"/>
        </w:rPr>
      </w:pPr>
      <w:r>
        <w:rPr>
          <w:rFonts w:hint="eastAsia" w:ascii="方正小标宋_GBK" w:hAnsi="方正小标宋_GBK" w:eastAsia="方正小标宋_GBK" w:cs="方正小标宋_GBK"/>
          <w:b/>
          <w:bCs/>
          <w:sz w:val="32"/>
          <w:szCs w:val="32"/>
          <w:highlight w:val="none"/>
        </w:rPr>
        <w:t>授权委托书</w:t>
      </w:r>
    </w:p>
    <w:p w14:paraId="3D619A39">
      <w:pPr>
        <w:spacing w:line="500" w:lineRule="exact"/>
        <w:jc w:val="center"/>
        <w:rPr>
          <w:rFonts w:ascii="等线 Light" w:hAnsi="等线 Light" w:eastAsia="等线 Light"/>
          <w:b/>
          <w:bCs/>
          <w:sz w:val="32"/>
          <w:szCs w:val="32"/>
          <w:highlight w:val="none"/>
        </w:rPr>
      </w:pPr>
    </w:p>
    <w:p w14:paraId="0EA942BD">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本人</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（姓名）系</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（参选人名称）的法定代表人（或单位负责人），现委托</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（姓名）为我方代理人。代理人根据授权，以我方名义签署、澄清、说明、补正、递交、撤回、修改</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（项目名称）参选文件、签订合同和处理有关事宜，其法律后果由我方承担。</w:t>
      </w:r>
    </w:p>
    <w:p w14:paraId="0FD5363E">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委托期限：                   。</w:t>
      </w:r>
    </w:p>
    <w:p w14:paraId="2DF641AA">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代理人无转委托权。</w:t>
      </w:r>
    </w:p>
    <w:p w14:paraId="3867805D">
      <w:pPr>
        <w:widowControl/>
        <w:spacing w:line="560" w:lineRule="exact"/>
        <w:ind w:firstLine="420" w:firstLineChars="200"/>
        <w:jc w:val="left"/>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参选人：　　　　                                　（全称、盖章）</w:t>
      </w:r>
    </w:p>
    <w:p w14:paraId="1A6AB04D">
      <w:pPr>
        <w:widowControl/>
        <w:spacing w:line="560" w:lineRule="exact"/>
        <w:ind w:firstLine="420" w:firstLineChars="200"/>
        <w:jc w:val="left"/>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参选人法定代表人（或单位负责人）：　　　   　　　　 （盖章、签字）</w:t>
      </w:r>
    </w:p>
    <w:p w14:paraId="130E231C">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身份证号码：                 </w:t>
      </w:r>
    </w:p>
    <w:p w14:paraId="54EA0681">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委托代理人：                                          （签字）</w:t>
      </w:r>
    </w:p>
    <w:p w14:paraId="74A4BF39">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身份证号码：                 </w:t>
      </w:r>
    </w:p>
    <w:p w14:paraId="7A24CB03">
      <w:pPr>
        <w:spacing w:line="560" w:lineRule="exact"/>
        <w:rPr>
          <w:rFonts w:ascii="方正仿宋_GBK" w:hAnsi="方正仿宋_GBK" w:eastAsia="方正仿宋_GBK" w:cs="方正仿宋_GBK"/>
          <w:spacing w:val="20"/>
          <w:sz w:val="24"/>
          <w:highlight w:val="none"/>
        </w:rPr>
      </w:pPr>
      <w:r>
        <w:rPr>
          <w:rFonts w:hint="eastAsia" w:ascii="方正仿宋_GBK" w:hAnsi="方正仿宋_GBK" w:eastAsia="方正仿宋_GBK" w:cs="方正仿宋_GBK"/>
          <w:szCs w:val="21"/>
          <w:highlight w:val="none"/>
        </w:rPr>
        <w:t xml:space="preserve">                                                                 年    月    日</w:t>
      </w:r>
    </w:p>
    <w:p w14:paraId="3B877324">
      <w:pPr>
        <w:spacing w:line="360" w:lineRule="auto"/>
        <w:jc w:val="center"/>
        <w:rPr>
          <w:rFonts w:ascii="方正仿宋_GBK" w:hAnsi="方正仿宋_GBK" w:eastAsia="方正仿宋_GBK" w:cs="方正仿宋_GBK"/>
          <w:spacing w:val="20"/>
          <w:sz w:val="24"/>
          <w:highlight w:val="none"/>
        </w:rPr>
      </w:pPr>
      <w:r>
        <w:rPr>
          <w:rFonts w:hint="eastAsia" w:ascii="方正仿宋_GBK" w:hAnsi="方正仿宋_GBK" w:eastAsia="方正仿宋_GBK" w:cs="方正仿宋_GBK"/>
          <w:highlight w:val="none"/>
        </w:rPr>
        <mc:AlternateContent>
          <mc:Choice Requires="wps">
            <w:drawing>
              <wp:anchor distT="0" distB="0" distL="114300" distR="114300" simplePos="0" relativeHeight="251661312" behindDoc="0" locked="0" layoutInCell="1" allowOverlap="1">
                <wp:simplePos x="0" y="0"/>
                <wp:positionH relativeFrom="column">
                  <wp:posOffset>3312160</wp:posOffset>
                </wp:positionH>
                <wp:positionV relativeFrom="paragraph">
                  <wp:posOffset>291465</wp:posOffset>
                </wp:positionV>
                <wp:extent cx="2171700" cy="1410335"/>
                <wp:effectExtent l="4445" t="4445" r="14605" b="1397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171700" cy="1410335"/>
                        </a:xfrm>
                        <a:prstGeom prst="rect">
                          <a:avLst/>
                        </a:prstGeom>
                        <a:solidFill>
                          <a:srgbClr val="FFFFFF"/>
                        </a:solidFill>
                        <a:ln w="9525">
                          <a:solidFill>
                            <a:srgbClr val="000000"/>
                          </a:solidFill>
                          <a:prstDash val="sysDot"/>
                          <a:miter lim="800000"/>
                        </a:ln>
                        <a:effectLst/>
                      </wps:spPr>
                      <wps:txbx>
                        <w:txbxContent>
                          <w:p w14:paraId="4014A9CD">
                            <w:r>
                              <w:rPr>
                                <w:rFonts w:hint="eastAsia"/>
                              </w:rPr>
                              <w:t>委托代理人身份证复印件（双面）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0.8pt;margin-top:22.95pt;height:111.05pt;width:171pt;z-index:251661312;mso-width-relative:page;mso-height-relative:page;" fillcolor="#FFFFFF" filled="t" stroked="t" coordsize="21600,21600" o:gfxdata="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q5T08NUAAAAKAQAADwAAAAAAAAAB&#10;ACAAAAAiAAAAZHJzL2Rvd25yZXYueG1sUEsBAhQAFAAAAAgAh07iQNLlH2JMAgAApQQAAA4AAAAA&#10;AAAAAQAgAAAAJAEAAGRycy9lMm9Eb2MueG1sUEsFBgAAAAAGAAYAWQEAAOIFAAAAAA==&#10;">
                <v:fill on="t" focussize="0,0"/>
                <v:stroke color="#000000" miterlimit="8" joinstyle="miter" dashstyle="1 1"/>
                <v:imagedata o:title=""/>
                <o:lock v:ext="edit" aspectratio="f"/>
                <v:textbox>
                  <w:txbxContent>
                    <w:p w14:paraId="4014A9CD">
                      <w:r>
                        <w:rPr>
                          <w:rFonts w:hint="eastAsia"/>
                        </w:rPr>
                        <w:t>委托代理人身份证复印件（双面）</w:t>
                      </w:r>
                    </w:p>
                  </w:txbxContent>
                </v:textbox>
              </v:rect>
            </w:pict>
          </mc:Fallback>
        </mc:AlternateContent>
      </w:r>
      <w:r>
        <w:rPr>
          <w:rFonts w:hint="eastAsia" w:ascii="方正仿宋_GBK" w:hAnsi="方正仿宋_GBK" w:eastAsia="方正仿宋_GBK" w:cs="方正仿宋_GBK"/>
          <w:highlight w:val="none"/>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291465</wp:posOffset>
                </wp:positionV>
                <wp:extent cx="2102485" cy="1410335"/>
                <wp:effectExtent l="4445" t="4445" r="7620" b="13970"/>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102485" cy="1410335"/>
                        </a:xfrm>
                        <a:prstGeom prst="rect">
                          <a:avLst/>
                        </a:prstGeom>
                        <a:solidFill>
                          <a:srgbClr val="FFFFFF"/>
                        </a:solidFill>
                        <a:ln w="9525">
                          <a:solidFill>
                            <a:srgbClr val="000000"/>
                          </a:solidFill>
                          <a:prstDash val="sysDot"/>
                          <a:miter lim="800000"/>
                        </a:ln>
                        <a:effectLst/>
                      </wps:spPr>
                      <wps:txbx>
                        <w:txbxContent>
                          <w:p w14:paraId="0A6A95AA">
                            <w:r>
                              <w:rPr>
                                <w:rFonts w:hint="eastAsia"/>
                              </w:rPr>
                              <w:t>法定代表人身份证复印件（双面）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75pt;margin-top:22.95pt;height:111.05pt;width:165.55pt;z-index:251660288;mso-width-relative:page;mso-height-relative:page;" fillcolor="#FFFFFF" filled="t" stroked="t" coordsize="21600,21600" o:gfxdata="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j4iJw1gAAAAoBAAAPAAAAAAAA&#10;AAEAIAAAACIAAABkcnMvZG93bnJldi54bWxQSwECFAAUAAAACACHTuJAcXLBTE0CAAClBAAADgAA&#10;AAAAAAABACAAAAAlAQAAZHJzL2Uyb0RvYy54bWxQSwUGAAAAAAYABgBZAQAA5AUAAAAA&#10;">
                <v:fill on="t" focussize="0,0"/>
                <v:stroke color="#000000" miterlimit="8" joinstyle="miter" dashstyle="1 1"/>
                <v:imagedata o:title=""/>
                <o:lock v:ext="edit" aspectratio="f"/>
                <v:textbox>
                  <w:txbxContent>
                    <w:p w14:paraId="0A6A95AA">
                      <w:r>
                        <w:rPr>
                          <w:rFonts w:hint="eastAsia"/>
                        </w:rPr>
                        <w:t>法定代表人身份证复印件（双面）</w:t>
                      </w:r>
                    </w:p>
                  </w:txbxContent>
                </v:textbox>
              </v:rect>
            </w:pict>
          </mc:Fallback>
        </mc:AlternateContent>
      </w:r>
    </w:p>
    <w:p w14:paraId="1B99A678">
      <w:pPr>
        <w:spacing w:line="360" w:lineRule="auto"/>
        <w:jc w:val="center"/>
        <w:rPr>
          <w:rFonts w:ascii="方正仿宋_GBK" w:hAnsi="方正仿宋_GBK" w:eastAsia="方正仿宋_GBK" w:cs="方正仿宋_GBK"/>
          <w:spacing w:val="20"/>
          <w:sz w:val="24"/>
          <w:highlight w:val="none"/>
        </w:rPr>
      </w:pPr>
    </w:p>
    <w:p w14:paraId="54513F05">
      <w:pPr>
        <w:pStyle w:val="5"/>
        <w:spacing w:line="560" w:lineRule="exact"/>
        <w:rPr>
          <w:rFonts w:ascii="方正仿宋_GBK" w:hAnsi="方正仿宋_GBK" w:eastAsia="方正仿宋_GBK" w:cs="方正仿宋_GBK"/>
          <w:szCs w:val="22"/>
          <w:highlight w:val="none"/>
        </w:rPr>
      </w:pPr>
    </w:p>
    <w:p w14:paraId="40EE109B">
      <w:pPr>
        <w:rPr>
          <w:rFonts w:ascii="方正仿宋_GBK" w:hAnsi="方正仿宋_GBK" w:eastAsia="方正仿宋_GBK" w:cs="方正仿宋_GBK"/>
          <w:highlight w:val="none"/>
        </w:rPr>
      </w:pPr>
    </w:p>
    <w:p w14:paraId="1D9134F3">
      <w:pPr>
        <w:spacing w:line="360" w:lineRule="auto"/>
        <w:jc w:val="left"/>
        <w:rPr>
          <w:rFonts w:ascii="方正仿宋_GBK" w:hAnsi="方正仿宋_GBK" w:eastAsia="方正仿宋_GBK" w:cs="方正仿宋_GBK"/>
          <w:szCs w:val="21"/>
          <w:highlight w:val="none"/>
        </w:rPr>
      </w:pPr>
    </w:p>
    <w:p w14:paraId="40C63D4F">
      <w:pPr>
        <w:spacing w:line="360" w:lineRule="auto"/>
        <w:jc w:val="left"/>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备注：</w:t>
      </w:r>
    </w:p>
    <w:p w14:paraId="159384F0">
      <w:pPr>
        <w:numPr>
          <w:ilvl w:val="0"/>
          <w:numId w:val="2"/>
        </w:numPr>
        <w:spacing w:line="320" w:lineRule="exact"/>
        <w:ind w:firstLine="420" w:firstLineChars="200"/>
        <w:jc w:val="left"/>
        <w:rPr>
          <w:highlight w:val="none"/>
        </w:rPr>
      </w:pPr>
      <w:r>
        <w:rPr>
          <w:rFonts w:hint="eastAsia" w:ascii="方正仿宋_GBK" w:hAnsi="方正仿宋_GBK" w:eastAsia="方正仿宋_GBK" w:cs="方正仿宋_GBK"/>
          <w:szCs w:val="21"/>
          <w:highlight w:val="none"/>
        </w:rPr>
        <w:t>法定代表人参加比选活动并签署文件的不需要授权委托书，只需提供法定代表人身份证明；非法定代表人参加比选活动及签署文件的除提供法定代表人身份证明外还须提供授权委托书。</w:t>
      </w:r>
    </w:p>
    <w:p w14:paraId="287EAF49">
      <w:pPr>
        <w:spacing w:line="500" w:lineRule="exact"/>
        <w:jc w:val="center"/>
        <w:rPr>
          <w:rFonts w:ascii="方正小标宋_GBK" w:hAnsi="方正小标宋_GBK" w:eastAsia="方正小标宋_GBK" w:cs="方正小标宋_GBK"/>
          <w:b/>
          <w:bCs/>
          <w:sz w:val="32"/>
          <w:szCs w:val="32"/>
          <w:highlight w:val="none"/>
        </w:rPr>
      </w:pPr>
    </w:p>
    <w:p w14:paraId="0B86DFC2">
      <w:pPr>
        <w:pStyle w:val="2"/>
      </w:pPr>
    </w:p>
    <w:p w14:paraId="031F99AF">
      <w:pPr>
        <w:spacing w:line="500" w:lineRule="exact"/>
        <w:jc w:val="center"/>
        <w:outlineLvl w:val="1"/>
        <w:rPr>
          <w:rFonts w:ascii="方正小标宋_GBK" w:hAnsi="方正小标宋_GBK" w:eastAsia="方正小标宋_GBK" w:cs="方正小标宋_GBK"/>
          <w:b/>
          <w:bCs/>
          <w:sz w:val="32"/>
          <w:szCs w:val="32"/>
          <w:highlight w:val="none"/>
        </w:rPr>
      </w:pPr>
      <w:r>
        <w:rPr>
          <w:rFonts w:hint="eastAsia" w:ascii="方正小标宋_GBK" w:hAnsi="方正小标宋_GBK" w:eastAsia="方正小标宋_GBK" w:cs="方正小标宋_GBK"/>
          <w:b/>
          <w:bCs/>
          <w:sz w:val="32"/>
          <w:szCs w:val="32"/>
          <w:highlight w:val="none"/>
        </w:rPr>
        <w:t>法定代表人（或单位负责人）身份证明</w:t>
      </w:r>
    </w:p>
    <w:p w14:paraId="5F323009">
      <w:pPr>
        <w:spacing w:line="560" w:lineRule="exact"/>
        <w:ind w:firstLine="420" w:firstLineChars="200"/>
        <w:jc w:val="center"/>
        <w:rPr>
          <w:rFonts w:ascii="等线 Light" w:hAnsi="等线 Light" w:eastAsia="等线 Light"/>
          <w:szCs w:val="28"/>
          <w:highlight w:val="none"/>
        </w:rPr>
      </w:pPr>
    </w:p>
    <w:p w14:paraId="55CC5D0E">
      <w:pPr>
        <w:spacing w:line="560" w:lineRule="exact"/>
        <w:ind w:firstLine="420" w:firstLineChars="200"/>
        <w:rPr>
          <w:rFonts w:ascii="等线 Light" w:hAnsi="等线 Light" w:eastAsia="等线 Light"/>
          <w:szCs w:val="28"/>
          <w:highlight w:val="none"/>
        </w:rPr>
      </w:pPr>
    </w:p>
    <w:p w14:paraId="494B5E05">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参选人名称：</w:t>
      </w:r>
      <w:r>
        <w:rPr>
          <w:rFonts w:hint="eastAsia" w:ascii="方正仿宋_GBK" w:hAnsi="方正仿宋_GBK" w:eastAsia="方正仿宋_GBK" w:cs="方正仿宋_GBK"/>
          <w:szCs w:val="21"/>
          <w:highlight w:val="none"/>
          <w:u w:val="single"/>
        </w:rPr>
        <w:t xml:space="preserve">                        </w:t>
      </w:r>
    </w:p>
    <w:p w14:paraId="30CE7178">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单位性质：</w:t>
      </w:r>
      <w:r>
        <w:rPr>
          <w:rFonts w:hint="eastAsia" w:ascii="方正仿宋_GBK" w:hAnsi="方正仿宋_GBK" w:eastAsia="方正仿宋_GBK" w:cs="方正仿宋_GBK"/>
          <w:szCs w:val="21"/>
          <w:highlight w:val="none"/>
          <w:u w:val="single"/>
        </w:rPr>
        <w:t xml:space="preserve">                            </w:t>
      </w:r>
    </w:p>
    <w:p w14:paraId="3E0974E2">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地址：</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 xml:space="preserve"> </w:t>
      </w:r>
    </w:p>
    <w:p w14:paraId="74507686">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成立时间：</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 xml:space="preserve"> 年</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月</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日</w:t>
      </w:r>
    </w:p>
    <w:p w14:paraId="2F3A5481">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经营期限：</w:t>
      </w:r>
      <w:r>
        <w:rPr>
          <w:rFonts w:hint="eastAsia" w:ascii="方正仿宋_GBK" w:hAnsi="方正仿宋_GBK" w:eastAsia="方正仿宋_GBK" w:cs="方正仿宋_GBK"/>
          <w:szCs w:val="21"/>
          <w:highlight w:val="none"/>
          <w:u w:val="single"/>
        </w:rPr>
        <w:t xml:space="preserve">                            </w:t>
      </w:r>
    </w:p>
    <w:p w14:paraId="7BFC73E9">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姓名：</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性别：</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职务：</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，系</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（参选单位名称）的法定代表人（或单位负责人）。</w:t>
      </w:r>
    </w:p>
    <w:p w14:paraId="4CB5CAE5">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特此证明。</w:t>
      </w:r>
    </w:p>
    <w:p w14:paraId="29CB5392">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参选人：     （单位盖章）</w:t>
      </w:r>
    </w:p>
    <w:p w14:paraId="059EFAB0">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年    月    日</w:t>
      </w:r>
    </w:p>
    <w:p w14:paraId="4F542A98">
      <w:pPr>
        <w:adjustRightInd w:val="0"/>
        <w:snapToGrid w:val="0"/>
        <w:spacing w:line="560" w:lineRule="exact"/>
        <w:ind w:firstLine="478" w:firstLineChars="228"/>
        <w:rPr>
          <w:rFonts w:ascii="方正仿宋_GBK" w:hAnsi="方正仿宋_GBK" w:eastAsia="方正仿宋_GBK" w:cs="方正仿宋_GBK"/>
          <w:szCs w:val="21"/>
          <w:highlight w:val="none"/>
        </w:rPr>
      </w:pPr>
    </w:p>
    <w:tbl>
      <w:tblPr>
        <w:tblStyle w:val="14"/>
        <w:tblpPr w:leftFromText="180" w:rightFromText="180" w:vertAnchor="text" w:horzAnchor="page" w:tblpXSpec="center" w:tblpY="90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8575"/>
      </w:tblGrid>
      <w:tr w14:paraId="63ADB805">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430" w:hRule="atLeast"/>
        </w:trPr>
        <w:tc>
          <w:tcPr>
            <w:tcW w:w="8575" w:type="dxa"/>
            <w:noWrap w:val="0"/>
            <w:vAlign w:val="center"/>
          </w:tcPr>
          <w:p w14:paraId="5FAECA95">
            <w:pPr>
              <w:adjustRightInd w:val="0"/>
              <w:snapToGrid w:val="0"/>
              <w:spacing w:line="560" w:lineRule="exact"/>
              <w:ind w:firstLine="478" w:firstLineChars="228"/>
              <w:jc w:val="center"/>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附法定代表人（或单位负责人）二代身份证复印件</w:t>
            </w:r>
          </w:p>
          <w:p w14:paraId="4F51BC0C">
            <w:pPr>
              <w:adjustRightInd w:val="0"/>
              <w:snapToGrid w:val="0"/>
              <w:spacing w:line="560" w:lineRule="exact"/>
              <w:ind w:firstLine="478" w:firstLineChars="228"/>
              <w:jc w:val="center"/>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（双面复印粘贴）</w:t>
            </w:r>
          </w:p>
        </w:tc>
      </w:tr>
    </w:tbl>
    <w:p w14:paraId="46D11DB9">
      <w:pPr>
        <w:adjustRightInd w:val="0"/>
        <w:snapToGrid w:val="0"/>
        <w:spacing w:line="560" w:lineRule="exact"/>
        <w:ind w:firstLine="478" w:firstLineChars="228"/>
        <w:rPr>
          <w:rFonts w:ascii="方正仿宋_GBK" w:hAnsi="方正仿宋_GBK" w:eastAsia="方正仿宋_GBK" w:cs="方正仿宋_GBK"/>
          <w:szCs w:val="21"/>
          <w:highlight w:val="none"/>
        </w:rPr>
      </w:pPr>
    </w:p>
    <w:p w14:paraId="6D999126">
      <w:pPr>
        <w:tabs>
          <w:tab w:val="left" w:pos="2580"/>
          <w:tab w:val="left" w:pos="5940"/>
        </w:tabs>
        <w:jc w:val="left"/>
        <w:rPr>
          <w:highlight w:val="none"/>
        </w:rPr>
      </w:pPr>
    </w:p>
    <w:p w14:paraId="69596987">
      <w:pPr>
        <w:keepNext/>
        <w:keepLines/>
        <w:spacing w:before="260" w:after="260" w:line="360" w:lineRule="auto"/>
        <w:outlineLvl w:val="1"/>
        <w:rPr>
          <w:rFonts w:ascii="宋体" w:hAnsi="宋体"/>
          <w:sz w:val="44"/>
          <w:szCs w:val="44"/>
          <w:highlight w:val="none"/>
        </w:rPr>
      </w:pPr>
    </w:p>
    <w:p w14:paraId="6E3A215A">
      <w:pPr>
        <w:pStyle w:val="2"/>
        <w:rPr>
          <w:highlight w:val="none"/>
        </w:rPr>
      </w:pPr>
    </w:p>
    <w:p w14:paraId="5D9A0D91">
      <w:pPr>
        <w:keepNext/>
        <w:keepLines/>
        <w:spacing w:before="260" w:after="260" w:line="360" w:lineRule="auto"/>
        <w:jc w:val="center"/>
        <w:outlineLvl w:val="0"/>
        <w:rPr>
          <w:rFonts w:ascii="宋体" w:hAnsi="宋体"/>
          <w:sz w:val="44"/>
          <w:szCs w:val="44"/>
          <w:highlight w:val="none"/>
        </w:rPr>
      </w:pPr>
      <w:r>
        <w:rPr>
          <w:rFonts w:hint="eastAsia" w:ascii="宋体" w:hAnsi="宋体"/>
          <w:sz w:val="44"/>
          <w:szCs w:val="44"/>
          <w:highlight w:val="none"/>
        </w:rPr>
        <w:br w:type="page"/>
      </w:r>
      <w:r>
        <w:rPr>
          <w:rFonts w:hint="eastAsia" w:ascii="宋体" w:hAnsi="宋体"/>
          <w:sz w:val="44"/>
          <w:szCs w:val="44"/>
          <w:highlight w:val="none"/>
        </w:rPr>
        <w:t>二、技术部分</w:t>
      </w:r>
    </w:p>
    <w:p w14:paraId="51082E3E">
      <w:pPr>
        <w:autoSpaceDE w:val="0"/>
        <w:autoSpaceDN w:val="0"/>
        <w:adjustRightInd w:val="0"/>
        <w:snapToGrid w:val="0"/>
        <w:spacing w:line="360" w:lineRule="auto"/>
        <w:jc w:val="center"/>
        <w:outlineLvl w:val="0"/>
        <w:rPr>
          <w:rFonts w:ascii="宋体" w:hAnsi="宋体"/>
          <w:kern w:val="0"/>
          <w:sz w:val="36"/>
          <w:szCs w:val="36"/>
          <w:highlight w:val="none"/>
        </w:rPr>
      </w:pPr>
      <w:r>
        <w:rPr>
          <w:rFonts w:hint="eastAsia" w:ascii="宋体" w:hAnsi="宋体"/>
          <w:kern w:val="0"/>
          <w:sz w:val="36"/>
          <w:szCs w:val="36"/>
          <w:highlight w:val="none"/>
        </w:rPr>
        <w:t>封  面</w:t>
      </w:r>
    </w:p>
    <w:p w14:paraId="6D720E91">
      <w:pPr>
        <w:jc w:val="center"/>
        <w:rPr>
          <w:rFonts w:ascii="宋体" w:hAnsi="宋体"/>
          <w:i/>
          <w:iCs/>
          <w:kern w:val="0"/>
          <w:szCs w:val="21"/>
          <w:highlight w:val="none"/>
        </w:rPr>
      </w:pPr>
    </w:p>
    <w:p w14:paraId="61F483D5">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w:t>
      </w:r>
      <w:r>
        <w:rPr>
          <w:rFonts w:hint="eastAsia" w:ascii="宋体" w:hAnsi="宋体"/>
          <w:i/>
          <w:iCs/>
          <w:kern w:val="0"/>
          <w:szCs w:val="21"/>
          <w:highlight w:val="none"/>
        </w:rPr>
        <w:t>格式自拟</w:t>
      </w:r>
      <w:r>
        <w:rPr>
          <w:rFonts w:ascii="宋体" w:hAnsi="宋体"/>
          <w:i/>
          <w:iCs/>
          <w:kern w:val="0"/>
          <w:szCs w:val="21"/>
          <w:highlight w:val="none"/>
        </w:rPr>
        <w:t>]</w:t>
      </w:r>
    </w:p>
    <w:p w14:paraId="4D54E7C6">
      <w:pPr>
        <w:autoSpaceDE w:val="0"/>
        <w:autoSpaceDN w:val="0"/>
        <w:adjustRightInd w:val="0"/>
        <w:snapToGrid w:val="0"/>
        <w:spacing w:line="360" w:lineRule="auto"/>
        <w:jc w:val="center"/>
        <w:outlineLvl w:val="0"/>
        <w:rPr>
          <w:rFonts w:ascii="宋体" w:hAnsi="宋体"/>
          <w:kern w:val="0"/>
          <w:sz w:val="32"/>
          <w:szCs w:val="32"/>
          <w:highlight w:val="none"/>
        </w:rPr>
      </w:pPr>
      <w:r>
        <w:rPr>
          <w:rFonts w:hint="eastAsia" w:ascii="宋体" w:hAnsi="宋体"/>
          <w:kern w:val="0"/>
          <w:sz w:val="36"/>
          <w:szCs w:val="36"/>
          <w:highlight w:val="none"/>
        </w:rPr>
        <w:t>目  录</w:t>
      </w:r>
    </w:p>
    <w:p w14:paraId="667A68DF">
      <w:pPr>
        <w:autoSpaceDE w:val="0"/>
        <w:autoSpaceDN w:val="0"/>
        <w:adjustRightInd w:val="0"/>
        <w:snapToGrid w:val="0"/>
        <w:spacing w:line="360" w:lineRule="auto"/>
        <w:jc w:val="left"/>
        <w:rPr>
          <w:rFonts w:ascii="宋体" w:hAnsi="宋体"/>
          <w:kern w:val="0"/>
          <w:sz w:val="32"/>
          <w:szCs w:val="32"/>
          <w:highlight w:val="none"/>
        </w:rPr>
      </w:pPr>
    </w:p>
    <w:p w14:paraId="7C0538F1">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[目录由参选人自行编制]</w:t>
      </w:r>
    </w:p>
    <w:p w14:paraId="52DE1A17">
      <w:pPr>
        <w:autoSpaceDE w:val="0"/>
        <w:autoSpaceDN w:val="0"/>
        <w:adjustRightInd w:val="0"/>
        <w:snapToGrid w:val="0"/>
        <w:spacing w:line="360" w:lineRule="auto"/>
        <w:jc w:val="center"/>
        <w:rPr>
          <w:rFonts w:ascii="宋体" w:hAnsi="宋体"/>
          <w:kern w:val="0"/>
          <w:sz w:val="36"/>
          <w:szCs w:val="36"/>
          <w:highlight w:val="none"/>
        </w:rPr>
      </w:pPr>
    </w:p>
    <w:p w14:paraId="5C464584">
      <w:pPr>
        <w:autoSpaceDE w:val="0"/>
        <w:autoSpaceDN w:val="0"/>
        <w:adjustRightInd w:val="0"/>
        <w:snapToGrid w:val="0"/>
        <w:spacing w:line="360" w:lineRule="auto"/>
        <w:jc w:val="center"/>
        <w:outlineLvl w:val="0"/>
        <w:rPr>
          <w:rFonts w:ascii="宋体" w:hAnsi="宋体"/>
          <w:kern w:val="0"/>
          <w:sz w:val="36"/>
          <w:szCs w:val="36"/>
          <w:highlight w:val="none"/>
        </w:rPr>
      </w:pPr>
      <w:r>
        <w:rPr>
          <w:rFonts w:hint="eastAsia" w:ascii="宋体" w:hAnsi="宋体"/>
          <w:kern w:val="0"/>
          <w:sz w:val="36"/>
          <w:szCs w:val="36"/>
          <w:highlight w:val="none"/>
        </w:rPr>
        <w:t>内容</w:t>
      </w:r>
    </w:p>
    <w:p w14:paraId="7C7BE866">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w:t>
      </w:r>
      <w:r>
        <w:rPr>
          <w:rFonts w:hint="eastAsia" w:ascii="宋体" w:hAnsi="宋体"/>
          <w:i/>
          <w:iCs/>
          <w:kern w:val="0"/>
          <w:szCs w:val="21"/>
          <w:highlight w:val="none"/>
        </w:rPr>
        <w:t>按照第</w:t>
      </w:r>
      <w:r>
        <w:rPr>
          <w:rFonts w:hint="eastAsia" w:ascii="宋体" w:hAnsi="宋体"/>
          <w:i/>
          <w:iCs/>
          <w:kern w:val="0"/>
          <w:szCs w:val="21"/>
          <w:highlight w:val="none"/>
          <w:lang w:val="en-US" w:eastAsia="zh-CN"/>
        </w:rPr>
        <w:t>三</w:t>
      </w:r>
      <w:r>
        <w:rPr>
          <w:rFonts w:hint="eastAsia" w:ascii="宋体" w:hAnsi="宋体"/>
          <w:i/>
          <w:iCs/>
          <w:kern w:val="0"/>
          <w:szCs w:val="21"/>
          <w:highlight w:val="none"/>
        </w:rPr>
        <w:t>章第</w:t>
      </w:r>
      <w:r>
        <w:rPr>
          <w:rFonts w:hint="eastAsia" w:ascii="宋体" w:hAnsi="宋体"/>
          <w:i/>
          <w:iCs/>
          <w:kern w:val="0"/>
          <w:szCs w:val="21"/>
          <w:highlight w:val="none"/>
          <w:lang w:val="en-US" w:eastAsia="zh-CN"/>
        </w:rPr>
        <w:t>2</w:t>
      </w:r>
      <w:r>
        <w:rPr>
          <w:rFonts w:hint="eastAsia" w:ascii="宋体" w:hAnsi="宋体"/>
          <w:i/>
          <w:iCs/>
          <w:kern w:val="0"/>
          <w:szCs w:val="21"/>
          <w:highlight w:val="none"/>
        </w:rPr>
        <w:t>.2.2要求进行编制</w:t>
      </w:r>
      <w:r>
        <w:rPr>
          <w:rFonts w:ascii="宋体" w:hAnsi="宋体"/>
          <w:i/>
          <w:iCs/>
          <w:kern w:val="0"/>
          <w:szCs w:val="21"/>
          <w:highlight w:val="none"/>
        </w:rPr>
        <w:t>]</w:t>
      </w:r>
    </w:p>
    <w:p w14:paraId="66A10E60">
      <w:pPr>
        <w:pStyle w:val="3"/>
        <w:spacing w:line="360" w:lineRule="auto"/>
        <w:jc w:val="center"/>
        <w:rPr>
          <w:rFonts w:ascii="宋体" w:hAnsi="宋体"/>
          <w:b w:val="0"/>
          <w:kern w:val="2"/>
          <w:sz w:val="21"/>
          <w:szCs w:val="21"/>
          <w:highlight w:val="none"/>
        </w:rPr>
      </w:pPr>
      <w:r>
        <w:rPr>
          <w:rFonts w:hint="eastAsia" w:ascii="宋体" w:hAnsi="宋体"/>
          <w:b w:val="0"/>
          <w:kern w:val="2"/>
          <w:sz w:val="21"/>
          <w:szCs w:val="21"/>
          <w:highlight w:val="none"/>
        </w:rPr>
        <w:t>，</w:t>
      </w:r>
    </w:p>
    <w:p w14:paraId="37CF3171">
      <w:pPr>
        <w:autoSpaceDE w:val="0"/>
        <w:autoSpaceDN w:val="0"/>
        <w:adjustRightInd w:val="0"/>
        <w:snapToGrid w:val="0"/>
        <w:spacing w:line="360" w:lineRule="auto"/>
        <w:jc w:val="center"/>
        <w:rPr>
          <w:rFonts w:ascii="宋体" w:hAnsi="宋体"/>
          <w:kern w:val="0"/>
          <w:sz w:val="36"/>
          <w:szCs w:val="36"/>
          <w:highlight w:val="none"/>
        </w:rPr>
      </w:pPr>
    </w:p>
    <w:p w14:paraId="31824DE0">
      <w:pPr>
        <w:autoSpaceDE w:val="0"/>
        <w:autoSpaceDN w:val="0"/>
        <w:adjustRightInd w:val="0"/>
        <w:snapToGrid w:val="0"/>
        <w:spacing w:line="360" w:lineRule="auto"/>
        <w:jc w:val="center"/>
        <w:rPr>
          <w:rFonts w:ascii="宋体" w:hAnsi="宋体"/>
          <w:kern w:val="0"/>
          <w:sz w:val="36"/>
          <w:szCs w:val="36"/>
          <w:highlight w:val="none"/>
        </w:rPr>
      </w:pPr>
    </w:p>
    <w:p w14:paraId="17718FF5">
      <w:pPr>
        <w:autoSpaceDE w:val="0"/>
        <w:autoSpaceDN w:val="0"/>
        <w:adjustRightInd w:val="0"/>
        <w:snapToGrid w:val="0"/>
        <w:spacing w:line="360" w:lineRule="auto"/>
        <w:jc w:val="center"/>
        <w:rPr>
          <w:rFonts w:ascii="宋体" w:hAnsi="宋体"/>
          <w:kern w:val="0"/>
          <w:sz w:val="36"/>
          <w:szCs w:val="36"/>
          <w:highlight w:val="none"/>
        </w:rPr>
      </w:pPr>
    </w:p>
    <w:p w14:paraId="466A683F">
      <w:pPr>
        <w:autoSpaceDE w:val="0"/>
        <w:autoSpaceDN w:val="0"/>
        <w:adjustRightInd w:val="0"/>
        <w:snapToGrid w:val="0"/>
        <w:spacing w:line="360" w:lineRule="auto"/>
        <w:jc w:val="center"/>
        <w:rPr>
          <w:rFonts w:ascii="宋体" w:hAnsi="宋体"/>
          <w:kern w:val="0"/>
          <w:sz w:val="36"/>
          <w:szCs w:val="36"/>
          <w:highlight w:val="none"/>
        </w:rPr>
      </w:pPr>
    </w:p>
    <w:p w14:paraId="4B104C88">
      <w:pPr>
        <w:pStyle w:val="2"/>
        <w:rPr>
          <w:highlight w:val="none"/>
        </w:rPr>
      </w:pPr>
    </w:p>
    <w:p w14:paraId="10F35D4F">
      <w:pPr>
        <w:rPr>
          <w:highlight w:val="none"/>
        </w:rPr>
      </w:pPr>
    </w:p>
    <w:p w14:paraId="7C3743D1">
      <w:pPr>
        <w:pStyle w:val="2"/>
        <w:rPr>
          <w:highlight w:val="none"/>
        </w:rPr>
      </w:pPr>
    </w:p>
    <w:p w14:paraId="4082EB47">
      <w:pPr>
        <w:autoSpaceDE w:val="0"/>
        <w:autoSpaceDN w:val="0"/>
        <w:adjustRightInd w:val="0"/>
        <w:snapToGrid w:val="0"/>
        <w:spacing w:line="360" w:lineRule="auto"/>
        <w:rPr>
          <w:rFonts w:ascii="宋体" w:hAnsi="宋体"/>
          <w:kern w:val="0"/>
          <w:sz w:val="36"/>
          <w:szCs w:val="36"/>
          <w:highlight w:val="none"/>
        </w:rPr>
      </w:pPr>
    </w:p>
    <w:p w14:paraId="430D46E8">
      <w:pPr>
        <w:tabs>
          <w:tab w:val="left" w:pos="2580"/>
          <w:tab w:val="left" w:pos="5940"/>
        </w:tabs>
        <w:jc w:val="left"/>
        <w:rPr>
          <w:rFonts w:ascii="宋体" w:hAnsi="宋体" w:cs="宋体"/>
          <w:b/>
          <w:bCs/>
          <w:color w:val="000000"/>
          <w:sz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3" name="矩形 13"/>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532F86B3">
                            <w:pPr>
                              <w:rPr>
                                <w:sz w:val="20"/>
                              </w:rPr>
                            </w:pPr>
                            <w:r>
                              <w:rPr>
                                <w:rFonts w:hint="eastAsia" w:ascii="宋体" w:cs="宋体"/>
                                <w:bCs/>
                                <w:color w:val="000000"/>
                                <w:sz w:val="22"/>
                              </w:rPr>
                              <w:t>密封线</w:t>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left:305.85pt;margin-top:736.45pt;height:15.6pt;width:33.05pt;mso-position-horizontal-relative:char;mso-position-vertical-relative:line;mso-wrap-style:none;rotation:-2883584f;z-index:251659264;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YYGGTZAAAADQEAAA8AAAAAAAAAAQAgAAAAIgAAAGRycy9k&#10;b3ducmV2LnhtbFBLAQIUABQAAAAIAIdO4kA8qfsMAQIAAOMDAAAOAAAAAAAAAAEAIAAAACgBAABk&#10;cnMvZTJvRG9jLnhtbFBLBQYAAAAABgAGAFkBAACbBQAAAAA=&#10;">
                <v:fill on="f" focussize="0,0"/>
                <v:stroke on="f"/>
                <v:imagedata o:title=""/>
                <o:lock v:ext="edit" aspectratio="f"/>
                <v:textbox inset="0mm,0mm,0mm,0mm" style="mso-fit-shape-to-text:t;">
                  <w:txbxContent>
                    <w:p w14:paraId="532F86B3">
                      <w:pPr>
                        <w:rPr>
                          <w:sz w:val="20"/>
                        </w:rPr>
                      </w:pPr>
                      <w:r>
                        <w:rPr>
                          <w:rFonts w:hint="eastAsia" w:ascii="宋体" w:cs="宋体"/>
                          <w:bCs/>
                          <w:color w:val="000000"/>
                          <w:sz w:val="22"/>
                        </w:rPr>
                        <w:t>密封线</w:t>
                      </w:r>
                    </w:p>
                  </w:txbxContent>
                </v:textbox>
              </v:rect>
            </w:pict>
          </mc:Fallback>
        </mc:AlternateContent>
      </w:r>
    </w:p>
    <w:p w14:paraId="1CF5C102">
      <w:pPr>
        <w:keepNext/>
        <w:keepLines/>
        <w:spacing w:before="260" w:after="260" w:line="360" w:lineRule="auto"/>
        <w:jc w:val="center"/>
        <w:outlineLvl w:val="0"/>
        <w:rPr>
          <w:rFonts w:ascii="宋体" w:hAnsi="宋体"/>
          <w:sz w:val="44"/>
          <w:szCs w:val="44"/>
          <w:highlight w:val="none"/>
        </w:rPr>
      </w:pPr>
      <w:r>
        <w:rPr>
          <w:rFonts w:hint="eastAsia" w:ascii="宋体" w:hAnsi="宋体"/>
          <w:sz w:val="44"/>
          <w:szCs w:val="44"/>
          <w:highlight w:val="none"/>
        </w:rPr>
        <w:t>三、资格审查部分</w:t>
      </w:r>
    </w:p>
    <w:p w14:paraId="5340D966">
      <w:pPr>
        <w:spacing w:line="360" w:lineRule="auto"/>
        <w:rPr>
          <w:rFonts w:ascii="宋体" w:hAnsi="宋体"/>
          <w:sz w:val="32"/>
          <w:szCs w:val="32"/>
          <w:highlight w:val="none"/>
        </w:rPr>
      </w:pPr>
    </w:p>
    <w:p w14:paraId="3BFEC504">
      <w:pPr>
        <w:spacing w:line="360" w:lineRule="auto"/>
        <w:rPr>
          <w:rFonts w:ascii="宋体" w:hAnsi="宋体"/>
          <w:sz w:val="32"/>
          <w:szCs w:val="32"/>
          <w:highlight w:val="none"/>
        </w:rPr>
      </w:pPr>
    </w:p>
    <w:p w14:paraId="3073FB9F">
      <w:pPr>
        <w:spacing w:line="360" w:lineRule="auto"/>
        <w:jc w:val="center"/>
        <w:outlineLvl w:val="0"/>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50CDE3A5">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1A9BC2F5">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20457B9A">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65E88BE5">
      <w:pPr>
        <w:tabs>
          <w:tab w:val="left" w:pos="3600"/>
          <w:tab w:val="left" w:pos="4480"/>
          <w:tab w:val="left" w:pos="5360"/>
        </w:tabs>
        <w:autoSpaceDE w:val="0"/>
        <w:autoSpaceDN w:val="0"/>
        <w:adjustRightInd w:val="0"/>
        <w:snapToGrid w:val="0"/>
        <w:spacing w:line="360" w:lineRule="auto"/>
        <w:jc w:val="center"/>
        <w:outlineLvl w:val="0"/>
        <w:rPr>
          <w:rFonts w:ascii="宋体" w:hAnsi="宋体"/>
          <w:kern w:val="0"/>
          <w:sz w:val="72"/>
          <w:szCs w:val="72"/>
          <w:highlight w:val="none"/>
        </w:rPr>
      </w:pPr>
      <w:r>
        <w:rPr>
          <w:rFonts w:hint="eastAsia" w:ascii="宋体" w:hAnsi="宋体"/>
          <w:kern w:val="0"/>
          <w:sz w:val="72"/>
          <w:szCs w:val="72"/>
          <w:highlight w:val="none"/>
        </w:rPr>
        <w:t>参 选 文 件</w:t>
      </w:r>
    </w:p>
    <w:p w14:paraId="326CDF2C">
      <w:pPr>
        <w:autoSpaceDE w:val="0"/>
        <w:autoSpaceDN w:val="0"/>
        <w:adjustRightInd w:val="0"/>
        <w:snapToGrid w:val="0"/>
        <w:spacing w:line="360" w:lineRule="auto"/>
        <w:jc w:val="left"/>
        <w:rPr>
          <w:rFonts w:ascii="宋体" w:hAnsi="宋体"/>
          <w:kern w:val="0"/>
          <w:sz w:val="16"/>
          <w:szCs w:val="16"/>
          <w:highlight w:val="none"/>
        </w:rPr>
      </w:pPr>
    </w:p>
    <w:p w14:paraId="07E75D56">
      <w:pPr>
        <w:autoSpaceDE w:val="0"/>
        <w:autoSpaceDN w:val="0"/>
        <w:adjustRightInd w:val="0"/>
        <w:snapToGrid w:val="0"/>
        <w:spacing w:line="360" w:lineRule="auto"/>
        <w:jc w:val="center"/>
        <w:outlineLvl w:val="0"/>
        <w:rPr>
          <w:rFonts w:ascii="宋体" w:hAnsi="宋体"/>
          <w:kern w:val="0"/>
          <w:sz w:val="36"/>
          <w:szCs w:val="36"/>
          <w:highlight w:val="none"/>
        </w:rPr>
      </w:pPr>
      <w:r>
        <w:rPr>
          <w:rFonts w:hint="eastAsia" w:ascii="宋体" w:hAnsi="宋体"/>
          <w:kern w:val="0"/>
          <w:sz w:val="36"/>
          <w:szCs w:val="36"/>
          <w:highlight w:val="none"/>
        </w:rPr>
        <w:t>资格审查部分</w:t>
      </w:r>
    </w:p>
    <w:p w14:paraId="71D46890">
      <w:pPr>
        <w:autoSpaceDE w:val="0"/>
        <w:autoSpaceDN w:val="0"/>
        <w:adjustRightInd w:val="0"/>
        <w:snapToGrid w:val="0"/>
        <w:spacing w:line="360" w:lineRule="auto"/>
        <w:jc w:val="left"/>
        <w:rPr>
          <w:rFonts w:ascii="宋体" w:hAnsi="宋体" w:cs="MingLiU"/>
          <w:kern w:val="0"/>
          <w:sz w:val="20"/>
          <w:szCs w:val="20"/>
          <w:highlight w:val="none"/>
        </w:rPr>
      </w:pPr>
    </w:p>
    <w:p w14:paraId="138C392F">
      <w:pPr>
        <w:adjustRightInd w:val="0"/>
        <w:snapToGrid w:val="0"/>
        <w:spacing w:line="264" w:lineRule="auto"/>
        <w:rPr>
          <w:rFonts w:ascii="宋体" w:hAnsi="宋体"/>
          <w:szCs w:val="21"/>
          <w:highlight w:val="none"/>
        </w:rPr>
      </w:pPr>
    </w:p>
    <w:p w14:paraId="2B06806C">
      <w:pPr>
        <w:autoSpaceDE w:val="0"/>
        <w:autoSpaceDN w:val="0"/>
        <w:adjustRightInd w:val="0"/>
        <w:snapToGrid w:val="0"/>
        <w:spacing w:line="360" w:lineRule="auto"/>
        <w:jc w:val="left"/>
        <w:rPr>
          <w:rFonts w:ascii="宋体" w:hAnsi="宋体" w:cs="MingLiU"/>
          <w:kern w:val="0"/>
          <w:sz w:val="20"/>
          <w:szCs w:val="20"/>
          <w:highlight w:val="none"/>
        </w:rPr>
      </w:pPr>
    </w:p>
    <w:p w14:paraId="3B3D4DE7">
      <w:pPr>
        <w:autoSpaceDE w:val="0"/>
        <w:autoSpaceDN w:val="0"/>
        <w:adjustRightInd w:val="0"/>
        <w:snapToGrid w:val="0"/>
        <w:spacing w:line="360" w:lineRule="auto"/>
        <w:jc w:val="left"/>
        <w:rPr>
          <w:rFonts w:ascii="宋体" w:hAnsi="宋体" w:cs="MingLiU"/>
          <w:kern w:val="0"/>
          <w:sz w:val="20"/>
          <w:szCs w:val="20"/>
          <w:highlight w:val="none"/>
        </w:rPr>
      </w:pPr>
    </w:p>
    <w:p w14:paraId="0722C071">
      <w:pPr>
        <w:autoSpaceDE w:val="0"/>
        <w:autoSpaceDN w:val="0"/>
        <w:adjustRightInd w:val="0"/>
        <w:snapToGrid w:val="0"/>
        <w:spacing w:line="360" w:lineRule="auto"/>
        <w:jc w:val="left"/>
        <w:rPr>
          <w:rFonts w:ascii="宋体" w:hAnsi="宋体" w:cs="MingLiU"/>
          <w:kern w:val="0"/>
          <w:sz w:val="20"/>
          <w:szCs w:val="20"/>
          <w:highlight w:val="none"/>
        </w:rPr>
      </w:pPr>
    </w:p>
    <w:p w14:paraId="3535787F">
      <w:pPr>
        <w:autoSpaceDE w:val="0"/>
        <w:autoSpaceDN w:val="0"/>
        <w:adjustRightInd w:val="0"/>
        <w:snapToGrid w:val="0"/>
        <w:spacing w:line="360" w:lineRule="auto"/>
        <w:jc w:val="left"/>
        <w:rPr>
          <w:rFonts w:ascii="宋体" w:hAnsi="宋体" w:cs="MingLiU"/>
          <w:kern w:val="0"/>
          <w:sz w:val="20"/>
          <w:szCs w:val="20"/>
          <w:highlight w:val="none"/>
        </w:rPr>
      </w:pPr>
    </w:p>
    <w:p w14:paraId="0C450BE9">
      <w:pPr>
        <w:tabs>
          <w:tab w:val="left" w:pos="6080"/>
          <w:tab w:val="left" w:pos="6640"/>
        </w:tabs>
        <w:autoSpaceDE w:val="0"/>
        <w:autoSpaceDN w:val="0"/>
        <w:adjustRightInd w:val="0"/>
        <w:snapToGrid w:val="0"/>
        <w:spacing w:line="480" w:lineRule="auto"/>
        <w:jc w:val="center"/>
        <w:rPr>
          <w:rFonts w:ascii="宋体" w:hAnsi="宋体"/>
          <w:w w:val="99"/>
          <w:kern w:val="0"/>
          <w:sz w:val="28"/>
          <w:szCs w:val="28"/>
          <w:highlight w:val="none"/>
        </w:rPr>
      </w:pPr>
      <w:r>
        <w:rPr>
          <w:rFonts w:ascii="宋体" w:hAnsi="宋体"/>
          <w:w w:val="99"/>
          <w:kern w:val="0"/>
          <w:sz w:val="28"/>
          <w:szCs w:val="28"/>
          <w:highlight w:val="none"/>
        </w:rPr>
        <w:t>参选人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（盖单位公章）</w:t>
      </w:r>
    </w:p>
    <w:p w14:paraId="1AF15A3D">
      <w:pPr>
        <w:tabs>
          <w:tab w:val="left" w:pos="6080"/>
          <w:tab w:val="left" w:pos="6640"/>
        </w:tabs>
        <w:autoSpaceDE w:val="0"/>
        <w:autoSpaceDN w:val="0"/>
        <w:adjustRightInd w:val="0"/>
        <w:snapToGrid w:val="0"/>
        <w:spacing w:line="48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（签字或盖章）</w:t>
      </w:r>
    </w:p>
    <w:p w14:paraId="67425FBB">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日</w:t>
      </w:r>
    </w:p>
    <w:p w14:paraId="59F39EAB">
      <w:pPr>
        <w:autoSpaceDE w:val="0"/>
        <w:autoSpaceDN w:val="0"/>
        <w:adjustRightInd w:val="0"/>
        <w:snapToGrid w:val="0"/>
        <w:jc w:val="center"/>
        <w:rPr>
          <w:rFonts w:ascii="宋体" w:hAnsi="宋体"/>
          <w:kern w:val="0"/>
          <w:sz w:val="36"/>
          <w:szCs w:val="36"/>
          <w:highlight w:val="none"/>
        </w:rPr>
      </w:pPr>
    </w:p>
    <w:p w14:paraId="4F67B788">
      <w:pPr>
        <w:autoSpaceDE w:val="0"/>
        <w:autoSpaceDN w:val="0"/>
        <w:adjustRightInd w:val="0"/>
        <w:snapToGrid w:val="0"/>
        <w:jc w:val="center"/>
        <w:rPr>
          <w:rFonts w:ascii="宋体" w:hAnsi="宋体"/>
          <w:kern w:val="0"/>
          <w:sz w:val="36"/>
          <w:szCs w:val="36"/>
          <w:highlight w:val="none"/>
        </w:rPr>
      </w:pPr>
    </w:p>
    <w:p w14:paraId="0E9325D9">
      <w:pPr>
        <w:autoSpaceDE w:val="0"/>
        <w:autoSpaceDN w:val="0"/>
        <w:adjustRightInd w:val="0"/>
        <w:snapToGrid w:val="0"/>
        <w:jc w:val="center"/>
        <w:rPr>
          <w:rFonts w:ascii="宋体" w:hAnsi="宋体"/>
          <w:kern w:val="0"/>
          <w:sz w:val="36"/>
          <w:szCs w:val="36"/>
          <w:highlight w:val="none"/>
        </w:rPr>
      </w:pPr>
    </w:p>
    <w:p w14:paraId="2F51C73D">
      <w:pPr>
        <w:autoSpaceDE/>
        <w:autoSpaceDN/>
        <w:adjustRightInd/>
        <w:snapToGrid/>
        <w:jc w:val="left"/>
        <w:outlineLvl w:val="0"/>
        <w:rPr>
          <w:rFonts w:hint="eastAsia" w:ascii="宋体" w:hAnsi="宋体"/>
          <w:kern w:val="0"/>
          <w:sz w:val="36"/>
          <w:szCs w:val="36"/>
          <w:highlight w:val="none"/>
        </w:rPr>
      </w:pPr>
      <w:r>
        <w:rPr>
          <w:rFonts w:hint="eastAsia" w:ascii="宋体" w:hAnsi="宋体"/>
          <w:kern w:val="0"/>
          <w:sz w:val="36"/>
          <w:szCs w:val="36"/>
          <w:highlight w:val="none"/>
        </w:rPr>
        <w:br w:type="page"/>
      </w:r>
    </w:p>
    <w:p w14:paraId="2B79D6DD">
      <w:pPr>
        <w:autoSpaceDE w:val="0"/>
        <w:autoSpaceDN w:val="0"/>
        <w:adjustRightInd w:val="0"/>
        <w:snapToGrid w:val="0"/>
        <w:jc w:val="center"/>
        <w:outlineLvl w:val="0"/>
        <w:rPr>
          <w:rFonts w:ascii="宋体" w:hAnsi="宋体"/>
          <w:kern w:val="0"/>
          <w:sz w:val="36"/>
          <w:szCs w:val="36"/>
          <w:highlight w:val="none"/>
        </w:rPr>
      </w:pPr>
      <w:r>
        <w:rPr>
          <w:rFonts w:hint="eastAsia" w:ascii="宋体" w:hAnsi="宋体"/>
          <w:kern w:val="0"/>
          <w:sz w:val="36"/>
          <w:szCs w:val="36"/>
          <w:highlight w:val="none"/>
        </w:rPr>
        <w:t>目  录</w:t>
      </w:r>
    </w:p>
    <w:p w14:paraId="4BE7738D">
      <w:pPr>
        <w:spacing w:line="360" w:lineRule="auto"/>
        <w:jc w:val="center"/>
        <w:rPr>
          <w:rFonts w:ascii="宋体" w:hAnsi="宋体"/>
          <w:b/>
          <w:kern w:val="0"/>
          <w:sz w:val="32"/>
          <w:szCs w:val="32"/>
          <w:highlight w:val="none"/>
        </w:rPr>
      </w:pPr>
    </w:p>
    <w:p w14:paraId="5E48A46D">
      <w:pPr>
        <w:spacing w:line="360" w:lineRule="auto"/>
        <w:ind w:firstLine="420" w:firstLineChars="200"/>
        <w:rPr>
          <w:rFonts w:ascii="宋体" w:hAnsi="宋体"/>
          <w:szCs w:val="21"/>
          <w:highlight w:val="none"/>
        </w:rPr>
      </w:pPr>
      <w:r>
        <w:rPr>
          <w:rFonts w:ascii="宋体" w:hAnsi="宋体"/>
          <w:szCs w:val="21"/>
          <w:highlight w:val="none"/>
        </w:rPr>
        <w:t>（一）</w:t>
      </w:r>
      <w:r>
        <w:rPr>
          <w:rFonts w:hint="eastAsia" w:ascii="宋体" w:hAnsi="宋体"/>
          <w:szCs w:val="21"/>
          <w:highlight w:val="none"/>
        </w:rPr>
        <w:t>营业执照</w:t>
      </w:r>
    </w:p>
    <w:p w14:paraId="22C2EA8C">
      <w:pPr>
        <w:spacing w:line="360" w:lineRule="auto"/>
        <w:ind w:firstLine="420" w:firstLineChars="200"/>
        <w:rPr>
          <w:rFonts w:ascii="宋体" w:hAnsi="宋体"/>
          <w:szCs w:val="21"/>
          <w:highlight w:val="none"/>
        </w:rPr>
      </w:pPr>
      <w:r>
        <w:rPr>
          <w:rFonts w:hint="eastAsia" w:ascii="宋体" w:hAnsi="宋体"/>
          <w:szCs w:val="21"/>
          <w:highlight w:val="none"/>
        </w:rPr>
        <w:t xml:space="preserve">（二）法定代表人身份证明或附有法定代表人身份证明的授权委托书                                                                                                  </w:t>
      </w:r>
    </w:p>
    <w:p w14:paraId="44D70DEF">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三</w:t>
      </w:r>
      <w:r>
        <w:rPr>
          <w:rFonts w:ascii="宋体" w:hAnsi="宋体"/>
          <w:szCs w:val="21"/>
          <w:highlight w:val="none"/>
        </w:rPr>
        <w:t>）</w:t>
      </w:r>
      <w:r>
        <w:rPr>
          <w:rFonts w:hint="eastAsia" w:ascii="宋体" w:hAnsi="宋体"/>
          <w:szCs w:val="21"/>
          <w:highlight w:val="none"/>
        </w:rPr>
        <w:t>承诺</w:t>
      </w:r>
    </w:p>
    <w:p w14:paraId="111C1FE2">
      <w:pPr>
        <w:spacing w:line="360" w:lineRule="auto"/>
        <w:ind w:firstLine="420" w:firstLineChars="200"/>
        <w:rPr>
          <w:rFonts w:hint="default" w:ascii="宋体" w:hAnsi="宋体" w:eastAsia="宋体"/>
          <w:szCs w:val="21"/>
          <w:highlight w:val="none"/>
          <w:lang w:val="en-US" w:eastAsia="zh-CN"/>
        </w:rPr>
      </w:pPr>
      <w:r>
        <w:rPr>
          <w:rFonts w:ascii="宋体" w:hAnsi="宋体"/>
          <w:szCs w:val="21"/>
          <w:highlight w:val="none"/>
        </w:rPr>
        <w:t>（</w:t>
      </w:r>
      <w:r>
        <w:rPr>
          <w:rFonts w:hint="eastAsia" w:ascii="宋体" w:hAnsi="宋体"/>
          <w:szCs w:val="21"/>
          <w:highlight w:val="none"/>
        </w:rPr>
        <w:t>四</w:t>
      </w:r>
      <w:r>
        <w:rPr>
          <w:rFonts w:ascii="宋体" w:hAnsi="宋体"/>
          <w:szCs w:val="21"/>
          <w:highlight w:val="none"/>
        </w:rPr>
        <w:t>）</w:t>
      </w:r>
      <w:r>
        <w:rPr>
          <w:rFonts w:hint="eastAsia" w:ascii="宋体" w:hAnsi="宋体"/>
          <w:szCs w:val="21"/>
          <w:highlight w:val="none"/>
          <w:lang w:val="en-US" w:eastAsia="zh-CN"/>
        </w:rPr>
        <w:t>联合体协议书</w:t>
      </w:r>
    </w:p>
    <w:p w14:paraId="268938B4">
      <w:pPr>
        <w:spacing w:line="360" w:lineRule="auto"/>
        <w:ind w:firstLine="420" w:firstLineChars="20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五</w:t>
      </w:r>
      <w:r>
        <w:rPr>
          <w:rFonts w:hint="eastAsia" w:ascii="宋体" w:hAnsi="宋体"/>
          <w:szCs w:val="21"/>
          <w:highlight w:val="none"/>
          <w:lang w:eastAsia="zh-CN"/>
        </w:rPr>
        <w:t>）</w:t>
      </w:r>
      <w:r>
        <w:rPr>
          <w:rFonts w:ascii="宋体" w:hAnsi="宋体"/>
          <w:szCs w:val="21"/>
          <w:highlight w:val="none"/>
        </w:rPr>
        <w:t>其他资料</w:t>
      </w:r>
      <w:r>
        <w:rPr>
          <w:rFonts w:hint="eastAsia" w:ascii="宋体" w:hAnsi="宋体"/>
          <w:szCs w:val="21"/>
          <w:highlight w:val="none"/>
        </w:rPr>
        <w:t>（业绩证明材料等）</w:t>
      </w:r>
    </w:p>
    <w:p w14:paraId="1487E171">
      <w:pPr>
        <w:spacing w:line="360" w:lineRule="auto"/>
        <w:jc w:val="center"/>
        <w:rPr>
          <w:rFonts w:ascii="宋体" w:hAnsi="宋体"/>
          <w:b/>
          <w:kern w:val="0"/>
          <w:sz w:val="32"/>
          <w:szCs w:val="32"/>
          <w:highlight w:val="none"/>
        </w:rPr>
      </w:pPr>
    </w:p>
    <w:p w14:paraId="0D7AEEC1">
      <w:pPr>
        <w:spacing w:line="360" w:lineRule="auto"/>
        <w:jc w:val="center"/>
        <w:rPr>
          <w:rFonts w:ascii="宋体" w:hAnsi="宋体"/>
          <w:b/>
          <w:kern w:val="0"/>
          <w:sz w:val="32"/>
          <w:szCs w:val="32"/>
          <w:highlight w:val="none"/>
        </w:rPr>
      </w:pPr>
    </w:p>
    <w:p w14:paraId="37AE80C8">
      <w:pPr>
        <w:keepNext/>
        <w:keepLines/>
        <w:numPr>
          <w:ilvl w:val="0"/>
          <w:numId w:val="3"/>
        </w:numPr>
        <w:spacing w:before="260" w:after="260" w:line="416" w:lineRule="auto"/>
        <w:jc w:val="center"/>
        <w:outlineLvl w:val="0"/>
        <w:rPr>
          <w:rFonts w:ascii="宋体" w:hAnsi="宋体"/>
          <w:b/>
          <w:bCs/>
          <w:sz w:val="32"/>
          <w:szCs w:val="32"/>
          <w:highlight w:val="none"/>
        </w:rPr>
      </w:pPr>
      <w:r>
        <w:rPr>
          <w:rFonts w:ascii="宋体" w:hAnsi="宋体"/>
          <w:b/>
          <w:bCs/>
          <w:sz w:val="32"/>
          <w:szCs w:val="32"/>
          <w:highlight w:val="none"/>
        </w:rPr>
        <w:br w:type="page"/>
      </w:r>
      <w:r>
        <w:rPr>
          <w:rFonts w:hint="eastAsia" w:ascii="宋体" w:hAnsi="宋体"/>
          <w:b/>
          <w:bCs/>
          <w:sz w:val="32"/>
          <w:szCs w:val="32"/>
          <w:highlight w:val="none"/>
        </w:rPr>
        <w:t>营业执照</w:t>
      </w:r>
    </w:p>
    <w:p w14:paraId="52C438D6">
      <w:pPr>
        <w:pStyle w:val="2"/>
        <w:jc w:val="center"/>
        <w:rPr>
          <w:rFonts w:ascii="宋体" w:hAnsi="宋体" w:cs="Times New Roman"/>
          <w:b w:val="0"/>
          <w:bCs w:val="0"/>
          <w:sz w:val="28"/>
          <w:szCs w:val="24"/>
          <w:highlight w:val="none"/>
        </w:rPr>
      </w:pPr>
      <w:r>
        <w:rPr>
          <w:rFonts w:hint="eastAsia" w:ascii="宋体" w:hAnsi="宋体" w:cs="Times New Roman"/>
          <w:b w:val="0"/>
          <w:bCs w:val="0"/>
          <w:sz w:val="28"/>
          <w:szCs w:val="24"/>
          <w:highlight w:val="none"/>
        </w:rPr>
        <w:t>参选人提供营业执照复印件加盖公章，原件备查</w:t>
      </w:r>
    </w:p>
    <w:p w14:paraId="14AC4A43">
      <w:pPr>
        <w:rPr>
          <w:rFonts w:ascii="宋体" w:hAnsi="宋体"/>
          <w:sz w:val="28"/>
          <w:highlight w:val="none"/>
        </w:rPr>
      </w:pPr>
    </w:p>
    <w:p w14:paraId="1C0B8ED8">
      <w:pPr>
        <w:pStyle w:val="2"/>
        <w:rPr>
          <w:rFonts w:ascii="宋体" w:hAnsi="宋体" w:cs="Times New Roman"/>
          <w:b w:val="0"/>
          <w:bCs w:val="0"/>
          <w:sz w:val="28"/>
          <w:szCs w:val="24"/>
          <w:highlight w:val="none"/>
        </w:rPr>
      </w:pPr>
    </w:p>
    <w:p w14:paraId="7D526ED5">
      <w:pPr>
        <w:rPr>
          <w:rFonts w:ascii="宋体" w:hAnsi="宋体"/>
          <w:sz w:val="28"/>
          <w:highlight w:val="none"/>
        </w:rPr>
      </w:pPr>
    </w:p>
    <w:p w14:paraId="18551E4F">
      <w:pPr>
        <w:pStyle w:val="2"/>
        <w:rPr>
          <w:rFonts w:ascii="宋体" w:hAnsi="宋体" w:cs="Times New Roman"/>
          <w:b w:val="0"/>
          <w:bCs w:val="0"/>
          <w:sz w:val="28"/>
          <w:szCs w:val="24"/>
          <w:highlight w:val="none"/>
        </w:rPr>
      </w:pPr>
    </w:p>
    <w:p w14:paraId="0AD09A28">
      <w:pPr>
        <w:rPr>
          <w:rFonts w:ascii="宋体" w:hAnsi="宋体"/>
          <w:sz w:val="28"/>
          <w:highlight w:val="none"/>
        </w:rPr>
      </w:pPr>
    </w:p>
    <w:p w14:paraId="52239A09">
      <w:pPr>
        <w:pStyle w:val="2"/>
        <w:rPr>
          <w:rFonts w:ascii="宋体" w:hAnsi="宋体" w:cs="Times New Roman"/>
          <w:b w:val="0"/>
          <w:bCs w:val="0"/>
          <w:sz w:val="28"/>
          <w:szCs w:val="24"/>
          <w:highlight w:val="none"/>
        </w:rPr>
      </w:pPr>
    </w:p>
    <w:p w14:paraId="62454D57">
      <w:pPr>
        <w:rPr>
          <w:rFonts w:ascii="宋体" w:hAnsi="宋体"/>
          <w:sz w:val="28"/>
          <w:highlight w:val="none"/>
        </w:rPr>
      </w:pPr>
    </w:p>
    <w:p w14:paraId="50695E8D">
      <w:pPr>
        <w:pStyle w:val="2"/>
        <w:rPr>
          <w:rFonts w:ascii="宋体" w:hAnsi="宋体" w:cs="Times New Roman"/>
          <w:b w:val="0"/>
          <w:bCs w:val="0"/>
          <w:sz w:val="28"/>
          <w:szCs w:val="24"/>
          <w:highlight w:val="none"/>
        </w:rPr>
      </w:pPr>
    </w:p>
    <w:p w14:paraId="0AA06E15">
      <w:pPr>
        <w:rPr>
          <w:rFonts w:ascii="宋体" w:hAnsi="宋体"/>
          <w:sz w:val="28"/>
          <w:highlight w:val="none"/>
        </w:rPr>
      </w:pPr>
    </w:p>
    <w:p w14:paraId="2607C5F8">
      <w:pPr>
        <w:pStyle w:val="2"/>
        <w:rPr>
          <w:rFonts w:ascii="宋体" w:hAnsi="宋体" w:cs="Times New Roman"/>
          <w:b w:val="0"/>
          <w:bCs w:val="0"/>
          <w:sz w:val="28"/>
          <w:szCs w:val="24"/>
          <w:highlight w:val="none"/>
        </w:rPr>
      </w:pPr>
    </w:p>
    <w:p w14:paraId="2CF54E3F">
      <w:pPr>
        <w:rPr>
          <w:rFonts w:ascii="宋体" w:hAnsi="宋体"/>
          <w:sz w:val="28"/>
          <w:highlight w:val="none"/>
        </w:rPr>
      </w:pPr>
    </w:p>
    <w:p w14:paraId="50348B90">
      <w:pPr>
        <w:pStyle w:val="2"/>
        <w:rPr>
          <w:rFonts w:ascii="宋体" w:hAnsi="宋体" w:cs="Times New Roman"/>
          <w:b w:val="0"/>
          <w:bCs w:val="0"/>
          <w:sz w:val="28"/>
          <w:szCs w:val="24"/>
          <w:highlight w:val="none"/>
        </w:rPr>
      </w:pPr>
    </w:p>
    <w:p w14:paraId="761474C3">
      <w:pPr>
        <w:rPr>
          <w:rFonts w:ascii="宋体" w:hAnsi="宋体"/>
          <w:sz w:val="28"/>
          <w:highlight w:val="none"/>
        </w:rPr>
      </w:pPr>
    </w:p>
    <w:p w14:paraId="51AC9D78">
      <w:pPr>
        <w:pStyle w:val="2"/>
        <w:rPr>
          <w:highlight w:val="none"/>
        </w:rPr>
      </w:pPr>
    </w:p>
    <w:p w14:paraId="2094F9CB">
      <w:pPr>
        <w:keepNext/>
        <w:keepLines/>
        <w:spacing w:before="260" w:after="260" w:line="416" w:lineRule="auto"/>
        <w:outlineLvl w:val="0"/>
        <w:rPr>
          <w:rFonts w:ascii="宋体" w:hAnsi="宋体"/>
          <w:b/>
          <w:bCs/>
          <w:snapToGrid w:val="0"/>
          <w:kern w:val="0"/>
          <w:sz w:val="30"/>
          <w:szCs w:val="30"/>
          <w:highlight w:val="none"/>
        </w:rPr>
      </w:pPr>
      <w:r>
        <w:rPr>
          <w:b/>
          <w:bCs/>
          <w:sz w:val="30"/>
          <w:szCs w:val="30"/>
          <w:highlight w:val="none"/>
        </w:rPr>
        <w:t>（</w:t>
      </w:r>
      <w:r>
        <w:rPr>
          <w:rFonts w:hint="eastAsia"/>
          <w:b/>
          <w:bCs/>
          <w:sz w:val="30"/>
          <w:szCs w:val="30"/>
          <w:highlight w:val="none"/>
        </w:rPr>
        <w:t>二</w:t>
      </w:r>
      <w:r>
        <w:rPr>
          <w:b/>
          <w:bCs/>
          <w:sz w:val="30"/>
          <w:szCs w:val="30"/>
          <w:highlight w:val="none"/>
        </w:rPr>
        <w:t>）</w:t>
      </w:r>
      <w:r>
        <w:rPr>
          <w:rFonts w:hint="eastAsia"/>
          <w:b/>
          <w:bCs/>
          <w:sz w:val="30"/>
          <w:szCs w:val="30"/>
          <w:highlight w:val="none"/>
        </w:rPr>
        <w:t>法定代表人身份证明或附有法定代表人身份证明的授权委托书</w:t>
      </w:r>
    </w:p>
    <w:p w14:paraId="010D227C">
      <w:pPr>
        <w:spacing w:line="480" w:lineRule="auto"/>
        <w:jc w:val="center"/>
        <w:rPr>
          <w:rFonts w:ascii="宋体" w:hAnsi="宋体"/>
          <w:sz w:val="28"/>
          <w:highlight w:val="none"/>
        </w:rPr>
      </w:pPr>
      <w:r>
        <w:rPr>
          <w:rFonts w:hint="eastAsia" w:ascii="宋体" w:hAnsi="宋体"/>
          <w:sz w:val="28"/>
          <w:highlight w:val="none"/>
        </w:rPr>
        <w:t>法定代表人身份证明</w:t>
      </w:r>
    </w:p>
    <w:p w14:paraId="641A7F28">
      <w:pPr>
        <w:spacing w:line="480" w:lineRule="auto"/>
        <w:jc w:val="center"/>
        <w:rPr>
          <w:rFonts w:ascii="宋体" w:hAnsi="宋体"/>
          <w:highlight w:val="none"/>
        </w:rPr>
      </w:pPr>
    </w:p>
    <w:p w14:paraId="3413C271">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参选人名称：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4FEF66C2">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72F1426B">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61B6F678">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3DFCAAB7">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005515D6">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58013A51">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（参选人名称）</w:t>
      </w:r>
      <w:r>
        <w:rPr>
          <w:rFonts w:ascii="宋体" w:hAnsi="宋体"/>
          <w:kern w:val="0"/>
          <w:szCs w:val="21"/>
          <w:highlight w:val="none"/>
        </w:rPr>
        <w:t>的法定代表人。</w:t>
      </w:r>
    </w:p>
    <w:p w14:paraId="663E381C">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4C740608">
      <w:pPr>
        <w:autoSpaceDE w:val="0"/>
        <w:autoSpaceDN w:val="0"/>
        <w:adjustRightInd w:val="0"/>
        <w:snapToGrid w:val="0"/>
        <w:spacing w:line="480" w:lineRule="auto"/>
        <w:ind w:firstLine="810" w:firstLineChars="386"/>
        <w:jc w:val="left"/>
        <w:rPr>
          <w:rFonts w:ascii="宋体" w:hAnsi="宋体"/>
          <w:szCs w:val="21"/>
          <w:highlight w:val="none"/>
        </w:rPr>
      </w:pPr>
      <w:r>
        <w:rPr>
          <w:rFonts w:hint="eastAsia" w:ascii="宋体" w:hAnsi="宋体"/>
          <w:kern w:val="0"/>
          <w:szCs w:val="21"/>
          <w:highlight w:val="none"/>
        </w:rPr>
        <w:t>附：法定代表人身份证明复印件（双面）</w:t>
      </w:r>
    </w:p>
    <w:p w14:paraId="42B5D63D">
      <w:pPr>
        <w:spacing w:line="360" w:lineRule="auto"/>
        <w:rPr>
          <w:rFonts w:ascii="宋体" w:hAnsi="宋体"/>
          <w:szCs w:val="21"/>
          <w:highlight w:val="none"/>
        </w:rPr>
      </w:pPr>
    </w:p>
    <w:p w14:paraId="40872354">
      <w:pPr>
        <w:spacing w:line="360" w:lineRule="auto"/>
        <w:rPr>
          <w:rFonts w:ascii="宋体" w:hAnsi="宋体"/>
          <w:szCs w:val="21"/>
          <w:highlight w:val="none"/>
        </w:rPr>
      </w:pPr>
    </w:p>
    <w:p w14:paraId="77901304">
      <w:pPr>
        <w:spacing w:line="360" w:lineRule="auto"/>
        <w:rPr>
          <w:rFonts w:ascii="宋体" w:hAnsi="宋体"/>
          <w:szCs w:val="21"/>
          <w:highlight w:val="none"/>
        </w:rPr>
      </w:pPr>
    </w:p>
    <w:p w14:paraId="4F54DDBA">
      <w:pPr>
        <w:autoSpaceDE w:val="0"/>
        <w:autoSpaceDN w:val="0"/>
        <w:adjustRightInd w:val="0"/>
        <w:snapToGrid w:val="0"/>
        <w:spacing w:line="480" w:lineRule="auto"/>
        <w:ind w:firstLine="810" w:firstLineChars="386"/>
        <w:jc w:val="right"/>
        <w:rPr>
          <w:rFonts w:ascii="宋体" w:hAnsi="宋体"/>
          <w:kern w:val="0"/>
          <w:szCs w:val="21"/>
          <w:highlight w:val="none"/>
        </w:rPr>
      </w:pPr>
      <w:r>
        <w:rPr>
          <w:rFonts w:ascii="宋体" w:hAnsi="宋体"/>
          <w:kern w:val="0"/>
          <w:szCs w:val="21"/>
          <w:highlight w:val="none"/>
        </w:rPr>
        <w:t>参选人：</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盖单位公章）</w:t>
      </w:r>
    </w:p>
    <w:p w14:paraId="3EC61F80">
      <w:pPr>
        <w:autoSpaceDE w:val="0"/>
        <w:autoSpaceDN w:val="0"/>
        <w:adjustRightInd w:val="0"/>
        <w:snapToGrid w:val="0"/>
        <w:spacing w:line="480" w:lineRule="auto"/>
        <w:jc w:val="left"/>
        <w:rPr>
          <w:rFonts w:ascii="宋体" w:hAnsi="宋体"/>
          <w:kern w:val="0"/>
          <w:sz w:val="20"/>
          <w:szCs w:val="20"/>
          <w:highlight w:val="none"/>
        </w:rPr>
      </w:pPr>
    </w:p>
    <w:p w14:paraId="0C8CDD8F">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2BB88C8C">
      <w:pPr>
        <w:autoSpaceDE w:val="0"/>
        <w:autoSpaceDN w:val="0"/>
        <w:adjustRightInd w:val="0"/>
        <w:snapToGrid w:val="0"/>
        <w:spacing w:line="360" w:lineRule="auto"/>
        <w:jc w:val="left"/>
        <w:rPr>
          <w:rFonts w:ascii="宋体" w:hAnsi="宋体"/>
          <w:kern w:val="0"/>
          <w:highlight w:val="none"/>
        </w:rPr>
      </w:pPr>
    </w:p>
    <w:p w14:paraId="65919CF4">
      <w:pPr>
        <w:autoSpaceDE w:val="0"/>
        <w:autoSpaceDN w:val="0"/>
        <w:adjustRightInd w:val="0"/>
        <w:snapToGrid w:val="0"/>
        <w:spacing w:line="360" w:lineRule="auto"/>
        <w:jc w:val="left"/>
        <w:rPr>
          <w:rFonts w:ascii="宋体" w:hAnsi="宋体"/>
          <w:kern w:val="0"/>
          <w:highlight w:val="none"/>
        </w:rPr>
      </w:pPr>
    </w:p>
    <w:p w14:paraId="4B6C34D8">
      <w:pPr>
        <w:tabs>
          <w:tab w:val="left" w:pos="1680"/>
          <w:tab w:val="left" w:pos="4215"/>
          <w:tab w:val="left" w:pos="4305"/>
          <w:tab w:val="left" w:pos="8000"/>
        </w:tabs>
        <w:autoSpaceDE w:val="0"/>
        <w:autoSpaceDN w:val="0"/>
        <w:adjustRightInd w:val="0"/>
        <w:snapToGrid w:val="0"/>
        <w:spacing w:line="360" w:lineRule="auto"/>
        <w:ind w:firstLine="411" w:firstLineChars="196"/>
        <w:jc w:val="center"/>
        <w:rPr>
          <w:rFonts w:ascii="宋体" w:hAnsi="宋体"/>
          <w:kern w:val="0"/>
          <w:sz w:val="20"/>
          <w:szCs w:val="20"/>
          <w:highlight w:val="none"/>
        </w:rPr>
      </w:pPr>
      <w:r>
        <w:rPr>
          <w:highlight w:val="none"/>
        </w:rPr>
        <w:t>注：法定代表人身份证明需按上述格式填写完整，不可缺少内容。在此基础上增加内容的不影响其有效性</w:t>
      </w:r>
      <w:r>
        <w:rPr>
          <w:rFonts w:hint="eastAsia" w:ascii="宋体" w:hAnsi="宋体"/>
          <w:kern w:val="0"/>
          <w:szCs w:val="21"/>
          <w:highlight w:val="none"/>
        </w:rPr>
        <w:t>。</w:t>
      </w: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4955D63B">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ascii="宋体" w:hAnsi="宋体"/>
          <w:spacing w:val="-1"/>
          <w:kern w:val="0"/>
          <w:szCs w:val="21"/>
          <w:highlight w:val="none"/>
          <w:u w:val="single"/>
        </w:rPr>
        <w:t>参选人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ascii="宋体" w:hAnsi="宋体"/>
          <w:kern w:val="0"/>
          <w:szCs w:val="21"/>
          <w:highlight w:val="none"/>
        </w:rPr>
        <w:t>参选文件、签订合同和处理有关事宜， 其法律后果由我方承担。</w:t>
      </w:r>
    </w:p>
    <w:p w14:paraId="534F063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7A17748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2BFCD50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46D67A8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参  选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盖单位公章</w:t>
      </w:r>
      <w:r>
        <w:rPr>
          <w:rFonts w:ascii="宋体" w:hAnsi="宋体"/>
          <w:kern w:val="0"/>
          <w:szCs w:val="21"/>
          <w:highlight w:val="none"/>
        </w:rPr>
        <w:t>）</w:t>
      </w:r>
    </w:p>
    <w:p w14:paraId="4A0C1B28">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（签字或盖章）</w:t>
      </w:r>
    </w:p>
    <w:p w14:paraId="3C35FFF3">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277C9D9B">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（签</w:t>
      </w:r>
      <w:r>
        <w:rPr>
          <w:rFonts w:ascii="宋体" w:hAnsi="宋体"/>
          <w:spacing w:val="-1"/>
          <w:kern w:val="0"/>
          <w:szCs w:val="21"/>
          <w:highlight w:val="none"/>
        </w:rPr>
        <w:t>字</w:t>
      </w:r>
      <w:r>
        <w:rPr>
          <w:rFonts w:ascii="宋体" w:hAnsi="宋体"/>
          <w:kern w:val="0"/>
          <w:szCs w:val="21"/>
          <w:highlight w:val="none"/>
        </w:rPr>
        <w:t>）</w:t>
      </w:r>
    </w:p>
    <w:p w14:paraId="47F42D5E">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139F59F3">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47A067A1">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670953DE">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附：法定代表人和委托代理人身份证明复印件（双面）</w:t>
      </w:r>
    </w:p>
    <w:p w14:paraId="2280243F">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5160BA42">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104B2547">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注：1、法定代表人参加参选活动并签署文件的不需要授权委托书，只需提供法定代表人身份证明；非法定代表人参加参选活动及签署文件的除提供法定代表人身份证明外还须提供授权委托书。</w:t>
      </w:r>
    </w:p>
    <w:p w14:paraId="2C3D62D8">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2、法定代表人身份证明及授权委托书原件装入参选文件一并递交。另外须准备一份授权委托书原件在开标现场出具。</w:t>
      </w:r>
    </w:p>
    <w:p w14:paraId="7CF5765A">
      <w:pPr>
        <w:spacing w:line="360" w:lineRule="auto"/>
        <w:ind w:firstLine="420" w:firstLineChars="200"/>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1B19AF7F">
      <w:pPr>
        <w:keepNext/>
        <w:keepLines/>
        <w:spacing w:after="260" w:line="360" w:lineRule="auto"/>
        <w:jc w:val="center"/>
        <w:outlineLvl w:val="0"/>
        <w:rPr>
          <w:rFonts w:ascii="宋体" w:hAnsi="宋体"/>
          <w:bCs/>
          <w:sz w:val="32"/>
          <w:szCs w:val="32"/>
          <w:highlight w:val="none"/>
        </w:rPr>
      </w:pPr>
      <w:r>
        <w:rPr>
          <w:rFonts w:hint="eastAsia" w:ascii="宋体" w:hAnsi="宋体"/>
          <w:b/>
          <w:bCs/>
          <w:sz w:val="32"/>
          <w:szCs w:val="32"/>
          <w:highlight w:val="none"/>
        </w:rPr>
        <w:t>（三）承诺</w:t>
      </w:r>
    </w:p>
    <w:p w14:paraId="6B2EBF69">
      <w:pPr>
        <w:snapToGrid w:val="0"/>
        <w:spacing w:line="400" w:lineRule="exact"/>
        <w:rPr>
          <w:rFonts w:ascii="宋体" w:hAnsi="宋体"/>
          <w:szCs w:val="21"/>
          <w:highlight w:val="none"/>
          <w:u w:val="single"/>
        </w:rPr>
      </w:pPr>
      <w:r>
        <w:rPr>
          <w:rFonts w:hint="eastAsia" w:ascii="宋体" w:hAnsi="宋体"/>
          <w:szCs w:val="21"/>
          <w:highlight w:val="none"/>
          <w:u w:val="single"/>
        </w:rPr>
        <w:t xml:space="preserve">        （比选人名称）</w:t>
      </w:r>
      <w:r>
        <w:rPr>
          <w:rFonts w:hint="eastAsia" w:ascii="宋体" w:hAnsi="宋体"/>
          <w:szCs w:val="21"/>
          <w:highlight w:val="none"/>
        </w:rPr>
        <w:t>：</w:t>
      </w:r>
    </w:p>
    <w:p w14:paraId="54290D6C">
      <w:pPr>
        <w:snapToGrid w:val="0"/>
        <w:spacing w:line="400" w:lineRule="exact"/>
        <w:ind w:firstLine="420" w:firstLineChars="200"/>
        <w:rPr>
          <w:rFonts w:ascii="宋体" w:hAnsi="宋体"/>
          <w:szCs w:val="21"/>
          <w:highlight w:val="none"/>
        </w:rPr>
      </w:pPr>
      <w:r>
        <w:rPr>
          <w:rFonts w:hint="eastAsia" w:ascii="宋体" w:hAnsi="宋体"/>
          <w:szCs w:val="21"/>
          <w:highlight w:val="none"/>
        </w:rPr>
        <w:t>我公司</w:t>
      </w:r>
      <w:r>
        <w:rPr>
          <w:rFonts w:hint="eastAsia" w:ascii="宋体" w:hAnsi="宋体"/>
          <w:szCs w:val="21"/>
          <w:highlight w:val="none"/>
          <w:u w:val="single"/>
        </w:rPr>
        <w:t xml:space="preserve">        （参选人名称）</w:t>
      </w:r>
      <w:r>
        <w:rPr>
          <w:rFonts w:hint="eastAsia" w:ascii="宋体" w:hAnsi="宋体"/>
          <w:szCs w:val="21"/>
          <w:highlight w:val="none"/>
        </w:rPr>
        <w:t>参加了贵单位</w:t>
      </w:r>
      <w:r>
        <w:rPr>
          <w:rFonts w:hint="eastAsia" w:ascii="宋体" w:hAnsi="宋体"/>
          <w:szCs w:val="21"/>
          <w:highlight w:val="none"/>
          <w:u w:val="single"/>
        </w:rPr>
        <w:t xml:space="preserve">        （项目名称）</w:t>
      </w:r>
      <w:r>
        <w:rPr>
          <w:rFonts w:hint="eastAsia" w:ascii="宋体" w:hAnsi="宋体"/>
          <w:szCs w:val="21"/>
          <w:highlight w:val="none"/>
        </w:rPr>
        <w:t>的参选，自愿作出以下承诺：</w:t>
      </w:r>
    </w:p>
    <w:p w14:paraId="11824179">
      <w:pPr>
        <w:snapToGrid w:val="0"/>
        <w:spacing w:line="400" w:lineRule="exact"/>
        <w:ind w:firstLine="420" w:firstLineChars="200"/>
        <w:rPr>
          <w:rFonts w:ascii="宋体" w:hAnsi="宋体"/>
          <w:szCs w:val="21"/>
          <w:highlight w:val="none"/>
        </w:rPr>
      </w:pPr>
    </w:p>
    <w:p w14:paraId="7036B613">
      <w:pPr>
        <w:tabs>
          <w:tab w:val="left" w:pos="3315"/>
          <w:tab w:val="left" w:pos="3390"/>
          <w:tab w:val="left" w:pos="6120"/>
          <w:tab w:val="left" w:pos="8850"/>
        </w:tabs>
        <w:autoSpaceDE w:val="0"/>
        <w:autoSpaceDN w:val="0"/>
        <w:adjustRightInd w:val="0"/>
        <w:snapToGrid w:val="0"/>
        <w:spacing w:line="460" w:lineRule="exact"/>
        <w:ind w:firstLine="420" w:firstLineChars="200"/>
        <w:jc w:val="left"/>
        <w:rPr>
          <w:rFonts w:ascii="宋体" w:hAnsi="宋体"/>
          <w:szCs w:val="21"/>
          <w:highlight w:val="none"/>
        </w:rPr>
      </w:pPr>
      <w:r>
        <w:rPr>
          <w:rFonts w:hint="eastAsia" w:ascii="宋体" w:hAnsi="宋体"/>
          <w:snapToGrid w:val="0"/>
          <w:kern w:val="0"/>
          <w:szCs w:val="21"/>
          <w:highlight w:val="none"/>
        </w:rPr>
        <w:t>1.公司承</w:t>
      </w:r>
      <w:r>
        <w:rPr>
          <w:rFonts w:hint="eastAsia" w:ascii="宋体" w:hAnsi="宋体"/>
          <w:snapToGrid w:val="0"/>
          <w:kern w:val="0"/>
          <w:szCs w:val="21"/>
          <w:highlight w:val="none"/>
          <w:lang w:val="zh-CN"/>
        </w:rPr>
        <w:t>具有独立承担民事责任的能力、具有良好的商业信誉和健全的财务会计制度、具有履行合同所必需的设备和专业技术能力、参加</w:t>
      </w:r>
      <w:r>
        <w:rPr>
          <w:rFonts w:hint="eastAsia" w:ascii="宋体" w:hAnsi="宋体"/>
          <w:snapToGrid w:val="0"/>
          <w:kern w:val="0"/>
          <w:szCs w:val="21"/>
          <w:highlight w:val="none"/>
        </w:rPr>
        <w:t>比选</w:t>
      </w:r>
      <w:r>
        <w:rPr>
          <w:rFonts w:hint="eastAsia" w:ascii="宋体" w:hAnsi="宋体"/>
          <w:snapToGrid w:val="0"/>
          <w:kern w:val="0"/>
          <w:szCs w:val="21"/>
          <w:highlight w:val="none"/>
          <w:lang w:val="zh-CN"/>
        </w:rPr>
        <w:t>活动前三年内，在经营活动中没有重大违法记录、</w:t>
      </w:r>
      <w:r>
        <w:rPr>
          <w:rFonts w:hint="eastAsia" w:ascii="宋体" w:hAnsi="宋体"/>
          <w:snapToGrid w:val="0"/>
          <w:kern w:val="0"/>
          <w:szCs w:val="21"/>
          <w:highlight w:val="none"/>
        </w:rPr>
        <w:t>公司满足</w:t>
      </w:r>
      <w:r>
        <w:rPr>
          <w:rFonts w:hint="eastAsia" w:ascii="宋体" w:hAnsi="宋体"/>
          <w:snapToGrid w:val="0"/>
          <w:kern w:val="0"/>
          <w:szCs w:val="21"/>
          <w:highlight w:val="none"/>
          <w:lang w:val="zh-CN"/>
        </w:rPr>
        <w:t>法律、行政法规规定的其他条件</w:t>
      </w:r>
      <w:r>
        <w:rPr>
          <w:rFonts w:hint="eastAsia" w:ascii="宋体" w:hAnsi="宋体"/>
          <w:snapToGrid w:val="0"/>
          <w:kern w:val="0"/>
          <w:szCs w:val="21"/>
          <w:highlight w:val="none"/>
        </w:rPr>
        <w:t>。</w:t>
      </w:r>
    </w:p>
    <w:p w14:paraId="3DAFD0D0">
      <w:pPr>
        <w:snapToGrid w:val="0"/>
        <w:spacing w:line="400" w:lineRule="exact"/>
        <w:ind w:firstLine="420" w:firstLineChars="200"/>
        <w:rPr>
          <w:rFonts w:ascii="宋体" w:hAnsi="宋体"/>
          <w:szCs w:val="21"/>
          <w:highlight w:val="none"/>
        </w:rPr>
      </w:pPr>
      <w:r>
        <w:rPr>
          <w:rFonts w:hint="eastAsia" w:ascii="宋体" w:hAnsi="宋体"/>
          <w:szCs w:val="21"/>
          <w:highlight w:val="none"/>
        </w:rPr>
        <w:t>2.比选人就比选文件要求的工期、质量、合同主要条款、参选有效期等所有要求公司进行完全响应。</w:t>
      </w:r>
    </w:p>
    <w:p w14:paraId="3FE94443">
      <w:pPr>
        <w:snapToGrid w:val="0"/>
        <w:spacing w:line="400" w:lineRule="exact"/>
        <w:ind w:firstLine="420" w:firstLineChars="200"/>
        <w:rPr>
          <w:rFonts w:ascii="宋体" w:hAnsi="宋体"/>
          <w:szCs w:val="21"/>
          <w:highlight w:val="none"/>
        </w:rPr>
      </w:pPr>
      <w:r>
        <w:rPr>
          <w:rFonts w:hint="eastAsia" w:ascii="宋体" w:hAnsi="宋体"/>
          <w:szCs w:val="21"/>
          <w:highlight w:val="none"/>
        </w:rPr>
        <w:t>3.不向比选人提出就本次比选所有事项签订合同或协议文件的任何要求。</w:t>
      </w:r>
    </w:p>
    <w:p w14:paraId="5ADB6B84">
      <w:pPr>
        <w:snapToGrid w:val="0"/>
        <w:spacing w:line="400" w:lineRule="exact"/>
        <w:ind w:firstLine="420" w:firstLineChars="200"/>
        <w:rPr>
          <w:rFonts w:ascii="宋体" w:hAnsi="宋体"/>
          <w:szCs w:val="21"/>
          <w:highlight w:val="none"/>
        </w:rPr>
      </w:pPr>
      <w:r>
        <w:rPr>
          <w:rFonts w:hint="eastAsia" w:ascii="宋体" w:hAnsi="宋体"/>
          <w:szCs w:val="21"/>
          <w:highlight w:val="none"/>
        </w:rPr>
        <w:t>4.不向比选人就本次比选提出任何形式的费用补偿要求。</w:t>
      </w:r>
    </w:p>
    <w:p w14:paraId="15089A73">
      <w:pPr>
        <w:snapToGrid w:val="0"/>
        <w:spacing w:line="400" w:lineRule="exact"/>
        <w:ind w:firstLine="420" w:firstLineChars="200"/>
        <w:rPr>
          <w:rFonts w:ascii="宋体" w:hAnsi="宋体"/>
          <w:szCs w:val="21"/>
          <w:highlight w:val="none"/>
        </w:rPr>
      </w:pPr>
      <w:r>
        <w:rPr>
          <w:rFonts w:hint="eastAsia" w:ascii="宋体" w:hAnsi="宋体"/>
          <w:szCs w:val="21"/>
          <w:highlight w:val="none"/>
        </w:rPr>
        <w:t>5.公司同意比选人及其指定的单位享有我公司所提交服务方案成果的知识产权，同意比选人及其指定的单位对我公司本次所提交的文件拥有使用权和处置权。</w:t>
      </w:r>
    </w:p>
    <w:p w14:paraId="50F8A2D9">
      <w:pPr>
        <w:snapToGrid w:val="0"/>
        <w:spacing w:line="400" w:lineRule="exact"/>
        <w:ind w:firstLine="420" w:firstLineChars="200"/>
        <w:rPr>
          <w:rFonts w:ascii="宋体" w:hAnsi="宋体"/>
          <w:szCs w:val="21"/>
          <w:highlight w:val="none"/>
        </w:rPr>
      </w:pPr>
      <w:r>
        <w:rPr>
          <w:rFonts w:hint="eastAsia" w:ascii="宋体" w:hAnsi="宋体"/>
          <w:szCs w:val="21"/>
          <w:highlight w:val="none"/>
        </w:rPr>
        <w:t>6.公司同意</w:t>
      </w:r>
      <w:r>
        <w:rPr>
          <w:rFonts w:ascii="宋体" w:hAnsi="宋体"/>
          <w:szCs w:val="21"/>
          <w:highlight w:val="none"/>
        </w:rPr>
        <w:t>本次</w:t>
      </w:r>
      <w:r>
        <w:rPr>
          <w:rFonts w:hint="eastAsia" w:ascii="宋体" w:hAnsi="宋体"/>
          <w:szCs w:val="21"/>
          <w:highlight w:val="none"/>
        </w:rPr>
        <w:t>比选提交的服务方案</w:t>
      </w:r>
      <w:r>
        <w:rPr>
          <w:rFonts w:ascii="宋体" w:hAnsi="宋体"/>
          <w:szCs w:val="21"/>
          <w:highlight w:val="none"/>
        </w:rPr>
        <w:t>版权归</w:t>
      </w:r>
      <w:r>
        <w:rPr>
          <w:rFonts w:hint="eastAsia" w:ascii="宋体" w:hAnsi="宋体"/>
          <w:szCs w:val="21"/>
          <w:highlight w:val="none"/>
        </w:rPr>
        <w:t>比选人及其指定的单位</w:t>
      </w:r>
      <w:r>
        <w:rPr>
          <w:rFonts w:ascii="宋体" w:hAnsi="宋体"/>
          <w:szCs w:val="21"/>
          <w:highlight w:val="none"/>
        </w:rPr>
        <w:t>所有，</w:t>
      </w:r>
      <w:r>
        <w:rPr>
          <w:rFonts w:hint="eastAsia" w:ascii="宋体" w:hAnsi="宋体"/>
          <w:szCs w:val="21"/>
          <w:highlight w:val="none"/>
        </w:rPr>
        <w:t>比选人及其指定的单位</w:t>
      </w:r>
      <w:r>
        <w:rPr>
          <w:rFonts w:ascii="宋体" w:hAnsi="宋体"/>
          <w:szCs w:val="21"/>
          <w:highlight w:val="none"/>
        </w:rPr>
        <w:t>可进行展览、印刷、出版、使用等。</w:t>
      </w:r>
    </w:p>
    <w:p w14:paraId="31E33D97">
      <w:pPr>
        <w:snapToGrid w:val="0"/>
        <w:spacing w:line="400" w:lineRule="exact"/>
        <w:ind w:firstLine="420" w:firstLineChars="200"/>
        <w:rPr>
          <w:rFonts w:ascii="宋体" w:hAnsi="宋体"/>
          <w:szCs w:val="21"/>
          <w:highlight w:val="none"/>
        </w:rPr>
      </w:pPr>
      <w:r>
        <w:rPr>
          <w:rFonts w:hint="eastAsia" w:ascii="宋体" w:hAnsi="宋体"/>
          <w:szCs w:val="21"/>
          <w:highlight w:val="none"/>
        </w:rPr>
        <w:t>7.我公司</w:t>
      </w:r>
      <w:r>
        <w:rPr>
          <w:rFonts w:ascii="宋体" w:hAnsi="宋体"/>
          <w:szCs w:val="21"/>
          <w:highlight w:val="none"/>
        </w:rPr>
        <w:t>在</w:t>
      </w:r>
      <w:r>
        <w:rPr>
          <w:rFonts w:hint="eastAsia" w:ascii="宋体" w:hAnsi="宋体"/>
          <w:szCs w:val="21"/>
          <w:highlight w:val="none"/>
        </w:rPr>
        <w:t>参选文件编制</w:t>
      </w:r>
      <w:r>
        <w:rPr>
          <w:rFonts w:ascii="宋体" w:hAnsi="宋体"/>
          <w:szCs w:val="21"/>
          <w:highlight w:val="none"/>
        </w:rPr>
        <w:t>过程中使用的</w:t>
      </w:r>
      <w:r>
        <w:rPr>
          <w:rFonts w:hint="eastAsia" w:ascii="宋体" w:hAnsi="宋体"/>
          <w:szCs w:val="21"/>
          <w:highlight w:val="none"/>
        </w:rPr>
        <w:t>比选人</w:t>
      </w:r>
      <w:r>
        <w:rPr>
          <w:rFonts w:ascii="宋体" w:hAnsi="宋体"/>
          <w:szCs w:val="21"/>
          <w:highlight w:val="none"/>
        </w:rPr>
        <w:t>提供的有关文件及资料不得用于本次</w:t>
      </w:r>
      <w:r>
        <w:rPr>
          <w:rFonts w:hint="eastAsia" w:ascii="宋体" w:hAnsi="宋体"/>
          <w:szCs w:val="21"/>
          <w:highlight w:val="none"/>
        </w:rPr>
        <w:t>比选</w:t>
      </w:r>
      <w:r>
        <w:rPr>
          <w:rFonts w:ascii="宋体" w:hAnsi="宋体"/>
          <w:szCs w:val="21"/>
          <w:highlight w:val="none"/>
        </w:rPr>
        <w:t>工作以外。</w:t>
      </w:r>
    </w:p>
    <w:p w14:paraId="3BCE18BC">
      <w:pPr>
        <w:snapToGrid w:val="0"/>
        <w:spacing w:line="400" w:lineRule="exact"/>
        <w:ind w:firstLine="420" w:firstLineChars="200"/>
        <w:rPr>
          <w:rFonts w:ascii="宋体" w:hAnsi="宋体"/>
          <w:szCs w:val="21"/>
          <w:highlight w:val="none"/>
        </w:rPr>
      </w:pPr>
    </w:p>
    <w:p w14:paraId="7A5BF21E">
      <w:pPr>
        <w:snapToGrid w:val="0"/>
        <w:spacing w:line="400" w:lineRule="exact"/>
        <w:ind w:firstLine="420" w:firstLineChars="200"/>
        <w:rPr>
          <w:rFonts w:ascii="宋体" w:hAnsi="宋体"/>
          <w:szCs w:val="21"/>
          <w:highlight w:val="none"/>
        </w:rPr>
      </w:pPr>
    </w:p>
    <w:p w14:paraId="3A6F32E6">
      <w:pPr>
        <w:tabs>
          <w:tab w:val="left" w:pos="4200"/>
          <w:tab w:val="left" w:pos="4620"/>
        </w:tabs>
        <w:autoSpaceDE w:val="0"/>
        <w:autoSpaceDN w:val="0"/>
        <w:adjustRightInd w:val="0"/>
        <w:snapToGrid w:val="0"/>
        <w:spacing w:line="360" w:lineRule="auto"/>
        <w:jc w:val="left"/>
        <w:rPr>
          <w:rFonts w:ascii="宋体" w:hAnsi="宋体"/>
          <w:kern w:val="0"/>
          <w:szCs w:val="21"/>
          <w:highlight w:val="none"/>
        </w:rPr>
      </w:pPr>
    </w:p>
    <w:p w14:paraId="6556ED1F">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参  选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盖单位公章</w:t>
      </w:r>
      <w:r>
        <w:rPr>
          <w:rFonts w:ascii="宋体" w:hAnsi="宋体"/>
          <w:kern w:val="0"/>
          <w:szCs w:val="21"/>
          <w:highlight w:val="none"/>
        </w:rPr>
        <w:t>）</w:t>
      </w:r>
    </w:p>
    <w:p w14:paraId="026AE02E">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（签字或盖章）</w:t>
      </w:r>
    </w:p>
    <w:p w14:paraId="51976155">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p>
    <w:p w14:paraId="17F3F846">
      <w:pPr>
        <w:tabs>
          <w:tab w:val="left" w:pos="6300"/>
        </w:tabs>
        <w:autoSpaceDE w:val="0"/>
        <w:autoSpaceDN w:val="0"/>
        <w:adjustRightInd w:val="0"/>
        <w:snapToGrid w:val="0"/>
        <w:ind w:firstLine="420" w:firstLineChars="200"/>
        <w:jc w:val="right"/>
        <w:rPr>
          <w:rFonts w:ascii="宋体" w:hAnsi="宋体"/>
          <w:b/>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日</w:t>
      </w:r>
    </w:p>
    <w:p w14:paraId="63B2CF5F">
      <w:pPr>
        <w:keepNext w:val="0"/>
        <w:keepLines w:val="0"/>
        <w:spacing w:after="0" w:line="240" w:lineRule="auto"/>
        <w:jc w:val="left"/>
        <w:outlineLvl w:val="0"/>
        <w:rPr>
          <w:rFonts w:hint="eastAsia" w:ascii="宋体" w:hAnsi="宋体"/>
          <w:b/>
          <w:bCs/>
          <w:sz w:val="32"/>
          <w:szCs w:val="32"/>
          <w:highlight w:val="none"/>
        </w:rPr>
      </w:pPr>
      <w:r>
        <w:rPr>
          <w:highlight w:val="none"/>
        </w:rPr>
        <w:br w:type="page"/>
      </w:r>
    </w:p>
    <w:p w14:paraId="09F57B41">
      <w:pPr>
        <w:keepNext/>
        <w:keepLines/>
        <w:spacing w:after="260" w:line="360" w:lineRule="auto"/>
        <w:jc w:val="center"/>
        <w:outlineLvl w:val="0"/>
        <w:rPr>
          <w:rFonts w:ascii="宋体" w:hAnsi="宋体"/>
          <w:b/>
          <w:bCs/>
          <w:sz w:val="32"/>
          <w:szCs w:val="32"/>
          <w:highlight w:val="none"/>
        </w:rPr>
      </w:pPr>
      <w:r>
        <w:rPr>
          <w:rFonts w:hint="eastAsia" w:ascii="宋体" w:hAnsi="宋体"/>
          <w:b/>
          <w:bCs/>
          <w:sz w:val="32"/>
          <w:szCs w:val="32"/>
          <w:highlight w:val="none"/>
        </w:rPr>
        <w:t>（</w:t>
      </w:r>
      <w:r>
        <w:rPr>
          <w:rFonts w:hint="eastAsia" w:ascii="宋体" w:hAnsi="宋体"/>
          <w:b/>
          <w:bCs/>
          <w:sz w:val="32"/>
          <w:szCs w:val="32"/>
          <w:highlight w:val="none"/>
          <w:lang w:val="en-US" w:eastAsia="zh-CN"/>
        </w:rPr>
        <w:t>四</w:t>
      </w:r>
      <w:r>
        <w:rPr>
          <w:rFonts w:hint="eastAsia" w:ascii="宋体" w:hAnsi="宋体"/>
          <w:b/>
          <w:bCs/>
          <w:sz w:val="32"/>
          <w:szCs w:val="32"/>
          <w:highlight w:val="none"/>
        </w:rPr>
        <w:t>）其他资料</w:t>
      </w:r>
    </w:p>
    <w:p w14:paraId="251A904A">
      <w:pPr>
        <w:spacing w:line="360" w:lineRule="auto"/>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业绩证明材料</w:t>
      </w:r>
    </w:p>
    <w:p w14:paraId="14F94BE5">
      <w:pPr>
        <w:pStyle w:val="2"/>
        <w:ind w:firstLine="420" w:firstLineChars="200"/>
        <w:rPr>
          <w:rFonts w:ascii="宋体" w:hAnsi="宋体" w:cs="Times New Roman"/>
          <w:b w:val="0"/>
          <w:bCs w:val="0"/>
          <w:sz w:val="21"/>
          <w:szCs w:val="21"/>
          <w:highlight w:val="none"/>
        </w:rPr>
      </w:pPr>
      <w:r>
        <w:rPr>
          <w:rFonts w:hint="eastAsia" w:ascii="宋体" w:hAnsi="宋体" w:cs="Times New Roman"/>
          <w:b w:val="0"/>
          <w:bCs w:val="0"/>
          <w:sz w:val="21"/>
          <w:szCs w:val="21"/>
          <w:highlight w:val="none"/>
        </w:rPr>
        <w:t>需提供业绩证明所须的合同复印件、项目已实质性启动或落地的证明文件资料，合同复印件和证明文件资料均须加盖公章，证明文件资料须反映对应合同项目名称，合同原件备查。</w:t>
      </w:r>
    </w:p>
    <w:p w14:paraId="43CE28AD">
      <w:pPr>
        <w:rPr>
          <w:rFonts w:ascii="宋体" w:hAnsi="宋体"/>
          <w:szCs w:val="21"/>
          <w:highlight w:val="none"/>
        </w:rPr>
      </w:pPr>
    </w:p>
    <w:p w14:paraId="2B0A875C">
      <w:pPr>
        <w:tabs>
          <w:tab w:val="left" w:pos="2580"/>
          <w:tab w:val="left" w:pos="5940"/>
        </w:tabs>
        <w:jc w:val="left"/>
        <w:rPr>
          <w:rFonts w:ascii="宋体" w:hAnsi="宋体" w:cs="宋体"/>
          <w:kern w:val="0"/>
          <w:sz w:val="28"/>
          <w:szCs w:val="28"/>
          <w:highlight w:val="none"/>
        </w:rPr>
      </w:pPr>
    </w:p>
    <w:p w14:paraId="195AD627">
      <w:pPr>
        <w:rPr>
          <w:highlight w:val="none"/>
        </w:rPr>
      </w:pPr>
    </w:p>
    <w:p w14:paraId="0D38F2D4">
      <w:pPr>
        <w:rPr>
          <w:highlight w:val="none"/>
        </w:rPr>
      </w:pPr>
    </w:p>
    <w:p w14:paraId="3E4A7485">
      <w:pPr>
        <w:pStyle w:val="2"/>
        <w:rPr>
          <w:highlight w:val="none"/>
        </w:rPr>
      </w:pPr>
    </w:p>
    <w:p w14:paraId="391F04E7">
      <w:pPr>
        <w:rPr>
          <w:highlight w:val="none"/>
        </w:rPr>
      </w:pPr>
    </w:p>
    <w:p w14:paraId="2257BB07">
      <w:pPr>
        <w:pStyle w:val="2"/>
        <w:rPr>
          <w:highlight w:val="none"/>
        </w:rPr>
      </w:pPr>
    </w:p>
    <w:p w14:paraId="648257CA">
      <w:pPr>
        <w:pStyle w:val="2"/>
        <w:rPr>
          <w:highlight w:val="none"/>
        </w:rPr>
      </w:pPr>
    </w:p>
    <w:p w14:paraId="45EAE608">
      <w:pPr>
        <w:rPr>
          <w:highlight w:val="none"/>
        </w:rPr>
      </w:pPr>
    </w:p>
    <w:p w14:paraId="228DAC31">
      <w:pPr>
        <w:pStyle w:val="2"/>
        <w:rPr>
          <w:highlight w:val="none"/>
        </w:rPr>
      </w:pPr>
    </w:p>
    <w:p w14:paraId="162B3D86">
      <w:pPr>
        <w:rPr>
          <w:highlight w:val="none"/>
        </w:rPr>
      </w:pPr>
    </w:p>
    <w:p w14:paraId="2BBCDE50">
      <w:pPr>
        <w:pStyle w:val="2"/>
        <w:rPr>
          <w:highlight w:val="none"/>
        </w:rPr>
      </w:pPr>
    </w:p>
    <w:p w14:paraId="3C6ECCA1">
      <w:pPr>
        <w:rPr>
          <w:highlight w:val="none"/>
        </w:rPr>
      </w:pPr>
    </w:p>
    <w:p w14:paraId="6B04CF60">
      <w:pPr>
        <w:pStyle w:val="2"/>
        <w:rPr>
          <w:highlight w:val="none"/>
        </w:rPr>
      </w:pPr>
    </w:p>
    <w:p w14:paraId="5F18B218">
      <w:pPr>
        <w:spacing w:line="360" w:lineRule="auto"/>
        <w:ind w:firstLine="420" w:firstLineChars="200"/>
        <w:rPr>
          <w:rFonts w:ascii="宋体" w:hAnsi="宋体"/>
          <w:szCs w:val="21"/>
          <w:highlight w:val="none"/>
        </w:rPr>
      </w:pPr>
    </w:p>
    <w:p w14:paraId="68588264">
      <w:pPr>
        <w:pStyle w:val="2"/>
        <w:rPr>
          <w:rFonts w:ascii="宋体" w:hAnsi="宋体"/>
          <w:szCs w:val="21"/>
          <w:highlight w:val="none"/>
        </w:rPr>
      </w:pPr>
    </w:p>
    <w:p w14:paraId="10252A41">
      <w:pPr>
        <w:rPr>
          <w:rFonts w:ascii="宋体" w:hAnsi="宋体"/>
          <w:szCs w:val="21"/>
          <w:highlight w:val="none"/>
        </w:rPr>
      </w:pPr>
    </w:p>
    <w:p w14:paraId="69327182">
      <w:pPr>
        <w:pStyle w:val="2"/>
        <w:rPr>
          <w:rFonts w:ascii="宋体" w:hAnsi="宋体"/>
          <w:szCs w:val="21"/>
          <w:highlight w:val="none"/>
        </w:rPr>
      </w:pPr>
    </w:p>
    <w:p w14:paraId="21838C42">
      <w:pPr>
        <w:rPr>
          <w:rFonts w:ascii="宋体" w:hAnsi="宋体"/>
          <w:szCs w:val="21"/>
          <w:highlight w:val="none"/>
        </w:rPr>
      </w:pPr>
    </w:p>
    <w:p w14:paraId="1A220169">
      <w:pPr>
        <w:rPr>
          <w:highlight w:val="none"/>
        </w:rPr>
      </w:pPr>
    </w:p>
    <w:p w14:paraId="784D32D4">
      <w:pPr>
        <w:pStyle w:val="2"/>
        <w:rPr>
          <w:highlight w:val="none"/>
        </w:rPr>
      </w:pPr>
    </w:p>
    <w:p w14:paraId="6764FD83">
      <w:pPr>
        <w:tabs>
          <w:tab w:val="left" w:pos="2580"/>
          <w:tab w:val="left" w:pos="5940"/>
        </w:tabs>
        <w:jc w:val="left"/>
        <w:rPr>
          <w:rFonts w:ascii="宋体" w:hAnsi="宋体" w:cs="宋体"/>
          <w:kern w:val="0"/>
          <w:sz w:val="28"/>
          <w:szCs w:val="28"/>
          <w:highlight w:val="none"/>
        </w:rPr>
      </w:pPr>
      <w:r>
        <w:rPr>
          <w:highlight w:val="none"/>
        </w:rPr>
        <mc:AlternateContent>
          <mc:Choice Requires="wps">
            <w:drawing>
              <wp:anchor distT="0" distB="0" distL="114300" distR="114300" simplePos="0" relativeHeight="251665408" behindDoc="0" locked="0" layoutInCell="1" allowOverlap="1">
                <wp:simplePos x="0" y="0"/>
                <wp:positionH relativeFrom="character">
                  <wp:posOffset>1805940</wp:posOffset>
                </wp:positionH>
                <wp:positionV relativeFrom="line">
                  <wp:posOffset>1351280</wp:posOffset>
                </wp:positionV>
                <wp:extent cx="2134235" cy="792480"/>
                <wp:effectExtent l="0" t="0" r="0" b="0"/>
                <wp:wrapNone/>
                <wp:docPr id="14" name="矩形 14"/>
                <wp:cNvGraphicFramePr/>
                <a:graphic xmlns:a="http://schemas.openxmlformats.org/drawingml/2006/main">
                  <a:graphicData uri="http://schemas.microsoft.com/office/word/2010/wordprocessingShape">
                    <wps:wsp>
                      <wps:cNvSpPr/>
                      <wps:spPr>
                        <a:xfrm>
                          <a:off x="3558540" y="2671445"/>
                          <a:ext cx="2134235" cy="792480"/>
                        </a:xfrm>
                        <a:prstGeom prst="rect">
                          <a:avLst/>
                        </a:prstGeom>
                        <a:noFill/>
                        <a:ln w="9525">
                          <a:noFill/>
                        </a:ln>
                        <a:effectLst/>
                      </wps:spPr>
                      <wps:txbx>
                        <w:txbxContent>
                          <w:p w14:paraId="17880E48">
                            <w:pPr>
                              <w:jc w:val="center"/>
                              <w:rPr>
                                <w:rFonts w:ascii="仿宋" w:hAnsi="仿宋" w:eastAsia="仿宋" w:cs="仿宋"/>
                                <w:sz w:val="84"/>
                                <w:szCs w:val="84"/>
                              </w:rPr>
                            </w:pPr>
                            <w:r>
                              <w:rPr>
                                <w:rFonts w:hint="eastAsia" w:ascii="仿宋" w:hAnsi="仿宋" w:eastAsia="仿宋" w:cs="仿宋"/>
                                <w:color w:val="000000"/>
                                <w:sz w:val="84"/>
                                <w:szCs w:val="84"/>
                              </w:rPr>
                              <w:t>技术方案</w:t>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left:142.2pt;margin-top:106.4pt;height:62.4pt;width:168.05pt;mso-position-horizontal-relative:char;mso-position-vertical-relative:line;mso-wrap-style:none;z-index:251665408;mso-width-relative:page;mso-height-relative:page;" filled="f" stroked="f" coordsize="21600,21600" o:gfxdata="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5fHVy2AAAAAsBAAAPAAAAAAAAAAEAIAAAACIAAABkcnMvZG93bnJldi54bWxQ&#10;SwECFAAUAAAACACHTuJAX0RqufcBAADVAwAADgAAAAAAAAABACAAAAAnAQAAZHJzL2Uyb0RvYy54&#10;bWxQSwUGAAAAAAYABgBZAQAAkAUAAAAA&#10;">
                <v:fill on="f" focussize="0,0"/>
                <v:stroke on="f"/>
                <v:imagedata o:title=""/>
                <o:lock v:ext="edit" aspectratio="f"/>
                <v:textbox inset="0mm,0mm,0mm,0mm" style="mso-fit-shape-to-text:t;">
                  <w:txbxContent>
                    <w:p w14:paraId="17880E48">
                      <w:pPr>
                        <w:jc w:val="center"/>
                        <w:rPr>
                          <w:rFonts w:ascii="仿宋" w:hAnsi="仿宋" w:eastAsia="仿宋" w:cs="仿宋"/>
                          <w:sz w:val="84"/>
                          <w:szCs w:val="84"/>
                        </w:rPr>
                      </w:pPr>
                      <w:r>
                        <w:rPr>
                          <w:rFonts w:hint="eastAsia" w:ascii="仿宋" w:hAnsi="仿宋" w:eastAsia="仿宋" w:cs="仿宋"/>
                          <w:color w:val="000000"/>
                          <w:sz w:val="84"/>
                          <w:szCs w:val="84"/>
                        </w:rPr>
                        <w:t>技术方案</w:t>
                      </w:r>
                    </w:p>
                  </w:txbxContent>
                </v:textbox>
              </v:rect>
            </w:pict>
          </mc:Fallback>
        </mc:AlternateContent>
      </w:r>
      <w:r>
        <w:rPr>
          <w:highlight w:val="none"/>
        </w:rPr>
        <mc:AlternateContent>
          <mc:Choice Requires="wps">
            <w:drawing>
              <wp:anchor distT="0" distB="0" distL="114300" distR="114300" simplePos="0" relativeHeight="251669504"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5" name="矩形 15"/>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28CCFB00">
                            <w:pPr>
                              <w:rPr>
                                <w:sz w:val="20"/>
                              </w:rPr>
                            </w:pPr>
                            <w:r>
                              <w:rPr>
                                <w:rFonts w:hint="eastAsia" w:ascii="宋体" w:cs="宋体"/>
                                <w:bCs/>
                                <w:color w:val="000000"/>
                                <w:sz w:val="22"/>
                              </w:rPr>
                              <w:t>密封线</w:t>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left:305.85pt;margin-top:736.45pt;height:15.6pt;width:33.05pt;mso-position-horizontal-relative:char;mso-position-vertical-relative:line;mso-wrap-style:none;rotation:-2883584f;z-index:251669504;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WGBhk2QAAAA0BAAAPAAAAAAAAAAEAIAAAACIAAABkcnMvZG93&#10;bnJldi54bWxQSwECFAAUAAAACACHTuJABcLn2P8BAADjAwAADgAAAAAAAAABACAAAAAoAQAAZHJz&#10;L2Uyb0RvYy54bWxQSwUGAAAAAAYABgBZAQAAmQUAAAAA&#10;">
                <v:fill on="f" focussize="0,0"/>
                <v:stroke on="f"/>
                <v:imagedata o:title=""/>
                <o:lock v:ext="edit" aspectratio="f"/>
                <v:textbox inset="0mm,0mm,0mm,0mm" style="mso-fit-shape-to-text:t;">
                  <w:txbxContent>
                    <w:p w14:paraId="28CCFB00">
                      <w:pPr>
                        <w:rPr>
                          <w:sz w:val="20"/>
                        </w:rPr>
                      </w:pPr>
                      <w:r>
                        <w:rPr>
                          <w:rFonts w:hint="eastAsia" w:ascii="宋体" w:cs="宋体"/>
                          <w:bCs/>
                          <w:color w:val="000000"/>
                          <w:sz w:val="22"/>
                        </w:rPr>
                        <w:t>密封线</w:t>
                      </w:r>
                    </w:p>
                  </w:txbxContent>
                </v:textbox>
              </v:rect>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character">
                  <wp:posOffset>3669030</wp:posOffset>
                </wp:positionH>
                <wp:positionV relativeFrom="line">
                  <wp:posOffset>6773545</wp:posOffset>
                </wp:positionV>
                <wp:extent cx="3175" cy="3128010"/>
                <wp:effectExtent l="4445" t="0" r="11430" b="15240"/>
                <wp:wrapNone/>
                <wp:docPr id="16" name="直接连接符 16"/>
                <wp:cNvGraphicFramePr/>
                <a:graphic xmlns:a="http://schemas.openxmlformats.org/drawingml/2006/main">
                  <a:graphicData uri="http://schemas.microsoft.com/office/word/2010/wordprocessingShape">
                    <wps:wsp>
                      <wps:cNvCnPr/>
                      <wps:spPr>
                        <a:xfrm flipH="1" flipV="1">
                          <a:off x="0" y="0"/>
                          <a:ext cx="3175" cy="3128010"/>
                        </a:xfrm>
                        <a:prstGeom prst="line">
                          <a:avLst/>
                        </a:prstGeom>
                        <a:ln w="9525" cap="flat" cmpd="sng">
                          <a:solidFill>
                            <a:srgbClr val="000000"/>
                          </a:solidFill>
                          <a:prstDash val="dash"/>
                          <a:miter/>
                          <a:headEnd type="none" w="med" len="med"/>
                          <a:tailEnd type="none" w="med" len="med"/>
                        </a:ln>
                        <a:effectLst/>
                      </wps:spPr>
                      <wps:bodyPr/>
                    </wps:wsp>
                  </a:graphicData>
                </a:graphic>
              </wp:anchor>
            </w:drawing>
          </mc:Choice>
          <mc:Fallback>
            <w:pict>
              <v:line id="_x0000_s1026" o:spid="_x0000_s1026" o:spt="20" style="position:absolute;left:0pt;flip:x y;margin-left:288.9pt;margin-top:533.35pt;height:246.3pt;width:0.25pt;mso-position-horizontal-relative:char;mso-position-vertical-relative:line;z-index:251667456;mso-width-relative:page;mso-height-relative:page;" filled="f" stroked="t" coordsize="21600,21600" o:gfxdata="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h8v7F3AAAAA0BAAAPAAAAAAAAAAEAIAAAACIA&#10;AABkcnMvZG93bnJldi54bWxQSwECFAAUAAAACACHTuJA2QPuYwUCAAAIBAAADgAAAAAAAAABACAA&#10;AAArAQAAZHJzL2Uyb0RvYy54bWxQSwUGAAAAAAYABgBZAQAAogUAAAAA&#10;">
                <v:fill on="f" focussize="0,0"/>
                <v:stroke color="#000000" joinstyle="miter" dashstyle="dash"/>
                <v:imagedata o:title=""/>
                <o:lock v:ext="edit" aspectratio="f"/>
              </v:line>
            </w:pict>
          </mc:Fallback>
        </mc:AlternateContent>
      </w:r>
      <w:r>
        <w:rPr>
          <w:highlight w:val="none"/>
        </w:rPr>
        <mc:AlternateContent>
          <mc:Choice Requires="wps">
            <w:drawing>
              <wp:anchor distT="0" distB="0" distL="114300" distR="114300" simplePos="0" relativeHeight="251662336" behindDoc="0" locked="0" layoutInCell="1" allowOverlap="1">
                <wp:simplePos x="0" y="0"/>
                <wp:positionH relativeFrom="character">
                  <wp:posOffset>3685540</wp:posOffset>
                </wp:positionH>
                <wp:positionV relativeFrom="line">
                  <wp:posOffset>6776720</wp:posOffset>
                </wp:positionV>
                <wp:extent cx="3077210" cy="4445"/>
                <wp:effectExtent l="0" t="0" r="0" b="0"/>
                <wp:wrapNone/>
                <wp:docPr id="17" name="直接箭头连接符 17"/>
                <wp:cNvGraphicFramePr/>
                <a:graphic xmlns:a="http://schemas.openxmlformats.org/drawingml/2006/main">
                  <a:graphicData uri="http://schemas.microsoft.com/office/word/2010/wordprocessingShape">
                    <wps:wsp>
                      <wps:cNvCnPr/>
                      <wps:spPr>
                        <a:xfrm flipV="1">
                          <a:off x="0" y="0"/>
                          <a:ext cx="3077210" cy="4445"/>
                        </a:xfrm>
                        <a:prstGeom prst="straightConnector1">
                          <a:avLst/>
                        </a:prstGeom>
                        <a:ln w="9525" cap="flat" cmpd="sng">
                          <a:solidFill>
                            <a:srgbClr val="000000"/>
                          </a:solidFill>
                          <a:prstDash val="dash"/>
                          <a:miter/>
                          <a:headEnd type="none" w="med" len="med"/>
                          <a:tailEnd type="none" w="med" len="med"/>
                        </a:ln>
                        <a:effectLst/>
                      </wps:spPr>
                      <wps:bodyPr/>
                    </wps:wsp>
                  </a:graphicData>
                </a:graphic>
              </wp:anchor>
            </w:drawing>
          </mc:Choice>
          <mc:Fallback>
            <w:pict>
              <v:shape id="_x0000_s1026" o:spid="_x0000_s1026" o:spt="32" type="#_x0000_t32" style="position:absolute;left:0pt;flip:y;margin-left:290.2pt;margin-top:533.6pt;height:0.35pt;width:242.3pt;mso-position-horizontal-relative:char;mso-position-vertical-relative:line;z-index:251662336;mso-width-relative:page;mso-height-relative:page;" filled="f" stroked="t" coordsize="21600,21600" o:gfxdata="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vfTrXaAAAADgEAAA8AAAAA&#10;AAAAAQAgAAAAIgAAAGRycy9kb3ducmV2LnhtbFBLAQIUABQAAAAIAIdO4kCcmXvLEgIAABIEAAAO&#10;AAAAAAAAAAEAIAAAACkBAABkcnMvZTJvRG9jLnhtbFBLBQYAAAAABgAGAFkBAACtBQAAAAA=&#10;">
                <v:fill on="f" focussize="0,0"/>
                <v:stroke color="#000000" joinstyle="miter" dashstyle="dash"/>
                <v:imagedata o:title=""/>
                <o:lock v:ext="edit" aspectratio="f"/>
              </v:shape>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character">
                  <wp:posOffset>3690620</wp:posOffset>
                </wp:positionH>
                <wp:positionV relativeFrom="line">
                  <wp:posOffset>6783070</wp:posOffset>
                </wp:positionV>
                <wp:extent cx="3057525" cy="3085465"/>
                <wp:effectExtent l="3175" t="3175" r="6350" b="16510"/>
                <wp:wrapNone/>
                <wp:docPr id="18" name="直接连接符 18"/>
                <wp:cNvGraphicFramePr/>
                <a:graphic xmlns:a="http://schemas.openxmlformats.org/drawingml/2006/main">
                  <a:graphicData uri="http://schemas.microsoft.com/office/word/2010/wordprocessingShape">
                    <wps:wsp>
                      <wps:cNvCnPr/>
                      <wps:spPr>
                        <a:xfrm flipV="1">
                          <a:off x="0" y="0"/>
                          <a:ext cx="3057525" cy="3085465"/>
                        </a:xfrm>
                        <a:prstGeom prst="line">
                          <a:avLst/>
                        </a:prstGeom>
                        <a:ln w="9525" cap="flat" cmpd="sng">
                          <a:solidFill>
                            <a:srgbClr val="000000"/>
                          </a:solidFill>
                          <a:prstDash val="dashDot"/>
                          <a:miter/>
                          <a:headEnd type="none" w="med" len="med"/>
                          <a:tailEnd type="none" w="med" len="med"/>
                        </a:ln>
                        <a:effectLst/>
                      </wps:spPr>
                      <wps:bodyPr/>
                    </wps:wsp>
                  </a:graphicData>
                </a:graphic>
              </wp:anchor>
            </w:drawing>
          </mc:Choice>
          <mc:Fallback>
            <w:pict>
              <v:line id="_x0000_s1026" o:spid="_x0000_s1026" o:spt="20" style="position:absolute;left:0pt;flip:y;margin-left:290.6pt;margin-top:534.1pt;height:242.95pt;width:240.75pt;mso-position-horizontal-relative:char;mso-position-vertical-relative:line;z-index:251666432;mso-width-relative:page;mso-height-relative:page;" filled="f" stroked="t" coordsize="21600,21600" o:gfxdata="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&#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CRR7J2gAAAA4BAAAPAAAAAAAAAAEAIAAAACIAAABk&#10;cnMvZG93bnJldi54bWxQSwECFAAUAAAACACHTuJAQ5RYAwQCAAAEBAAADgAAAAAAAAABACAAAAAp&#10;AQAAZHJzL2Uyb0RvYy54bWxQSwUGAAAAAAYABgBZAQAAnwUAAAAA&#10;">
                <v:fill on="f" focussize="0,0"/>
                <v:stroke color="#000000" joinstyle="miter" dashstyle="dashDot"/>
                <v:imagedata o:title=""/>
                <o:lock v:ext="edit" aspectratio="f"/>
              </v:line>
            </w:pict>
          </mc:Fallback>
        </mc:AlternateContent>
      </w:r>
      <w:r>
        <w:rPr>
          <w:highlight w:val="none"/>
        </w:rPr>
        <mc:AlternateContent>
          <mc:Choice Requires="wps">
            <w:drawing>
              <wp:anchor distT="0" distB="0" distL="114300" distR="114300" simplePos="0" relativeHeight="251663360" behindDoc="0" locked="0" layoutInCell="1" allowOverlap="1">
                <wp:simplePos x="0" y="0"/>
                <wp:positionH relativeFrom="character">
                  <wp:posOffset>4256405</wp:posOffset>
                </wp:positionH>
                <wp:positionV relativeFrom="line">
                  <wp:posOffset>7359650</wp:posOffset>
                </wp:positionV>
                <wp:extent cx="1857375" cy="1856740"/>
                <wp:effectExtent l="5080" t="5080" r="4445" b="5080"/>
                <wp:wrapNone/>
                <wp:docPr id="19" name="椭圆 19"/>
                <wp:cNvGraphicFramePr/>
                <a:graphic xmlns:a="http://schemas.openxmlformats.org/drawingml/2006/main">
                  <a:graphicData uri="http://schemas.microsoft.com/office/word/2010/wordprocessingShape">
                    <wps:wsp>
                      <wps:cNvSpPr/>
                      <wps:spPr>
                        <a:xfrm>
                          <a:off x="0" y="0"/>
                          <a:ext cx="1857375" cy="1856740"/>
                        </a:xfrm>
                        <a:prstGeom prst="ellipse">
                          <a:avLst/>
                        </a:prstGeom>
                        <a:noFill/>
                        <a:ln w="9525" cap="flat" cmpd="sng">
                          <a:solidFill>
                            <a:srgbClr val="000000"/>
                          </a:solidFill>
                          <a:prstDash val="dashDot"/>
                          <a:miter/>
                          <a:headEnd type="none" w="med" len="med"/>
                          <a:tailEnd type="none" w="med" len="med"/>
                        </a:ln>
                        <a:effectLst/>
                      </wps:spPr>
                      <wps:txbx>
                        <w:txbxContent>
                          <w:p w14:paraId="24553DBD"/>
                        </w:txbxContent>
                      </wps:txbx>
                      <wps:bodyPr vert="horz" wrap="square" anchor="t" anchorCtr="0" upright="1"/>
                    </wps:wsp>
                  </a:graphicData>
                </a:graphic>
              </wp:anchor>
            </w:drawing>
          </mc:Choice>
          <mc:Fallback>
            <w:pict>
              <v:shape id="_x0000_s1026" o:spid="_x0000_s1026" o:spt="3" type="#_x0000_t3" style="position:absolute;left:0pt;margin-left:335.15pt;margin-top:579.5pt;height:146.2pt;width:146.25pt;mso-position-horizontal-relative:char;mso-position-vertical-relative:line;z-index:251663360;mso-width-relative:page;mso-height-relative:page;" filled="f" stroked="t" coordsize="21600,21600" o:gfxdata="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7hNOB2gAAAA0BAAAPAAAAAAAAAAEAIAAAACIAAABkcnMvZG93bnJldi54bWxQSwECFAAUAAAA&#10;CACHTuJA2ghMkiUCAABJBAAADgAAAAAAAAABACAAAAApAQAAZHJzL2Uyb0RvYy54bWxQSwUGAAAA&#10;AAYABgBZAQAAwAUAAAAA&#10;">
                <v:fill on="f" focussize="0,0"/>
                <v:stroke color="#000000" joinstyle="miter" dashstyle="dashDot"/>
                <v:imagedata o:title=""/>
                <o:lock v:ext="edit" aspectratio="f"/>
                <v:textbox>
                  <w:txbxContent>
                    <w:p w14:paraId="24553DBD"/>
                  </w:txbxContent>
                </v:textbox>
              </v:shape>
            </w:pict>
          </mc:Fallback>
        </mc:AlternateContent>
      </w:r>
      <w:r>
        <w:rPr>
          <w:highlight w:val="none"/>
        </w:rPr>
        <mc:AlternateContent>
          <mc:Choice Requires="wps">
            <w:drawing>
              <wp:anchor distT="0" distB="0" distL="114300" distR="114300" simplePos="0" relativeHeight="251668480" behindDoc="0" locked="0" layoutInCell="1" allowOverlap="1">
                <wp:simplePos x="0" y="0"/>
                <wp:positionH relativeFrom="character">
                  <wp:posOffset>6140450</wp:posOffset>
                </wp:positionH>
                <wp:positionV relativeFrom="line">
                  <wp:posOffset>7091045</wp:posOffset>
                </wp:positionV>
                <wp:extent cx="419735" cy="198120"/>
                <wp:effectExtent l="0" t="0" r="0" b="0"/>
                <wp:wrapNone/>
                <wp:docPr id="20" name="矩形 20"/>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22E69F8A">
                            <w:pPr>
                              <w:rPr>
                                <w:sz w:val="20"/>
                              </w:rPr>
                            </w:pPr>
                            <w:r>
                              <w:rPr>
                                <w:rFonts w:hint="eastAsia" w:ascii="宋体" w:cs="宋体"/>
                                <w:bCs/>
                                <w:color w:val="000000"/>
                                <w:sz w:val="22"/>
                              </w:rPr>
                              <w:t>密封线</w:t>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left:483.5pt;margin-top:558.35pt;height:15.6pt;width:33.05pt;mso-position-horizontal-relative:char;mso-position-vertical-relative:line;mso-wrap-style:none;rotation:-2883584f;z-index:251668480;mso-width-relative:page;mso-height-relative:page;" filled="f" stroked="f" coordsize="21600,21600" o:gfxdata="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3fAV2gAAAA4BAAAPAAAAAAAAAAEAIAAAACIAAABkcnMvZG93&#10;bnJldi54bWxQSwECFAAUAAAACACHTuJAkVYdSf4BAADjAwAADgAAAAAAAAABACAAAAApAQAAZHJz&#10;L2Uyb0RvYy54bWxQSwUGAAAAAAYABgBZAQAAmQUAAAAA&#10;">
                <v:fill on="f" focussize="0,0"/>
                <v:stroke on="f"/>
                <v:imagedata o:title=""/>
                <o:lock v:ext="edit" aspectratio="f"/>
                <v:textbox inset="0mm,0mm,0mm,0mm" style="mso-fit-shape-to-text:t;">
                  <w:txbxContent>
                    <w:p w14:paraId="22E69F8A">
                      <w:pPr>
                        <w:rPr>
                          <w:sz w:val="20"/>
                        </w:rPr>
                      </w:pPr>
                      <w:r>
                        <w:rPr>
                          <w:rFonts w:hint="eastAsia" w:ascii="宋体" w:cs="宋体"/>
                          <w:bCs/>
                          <w:color w:val="000000"/>
                          <w:sz w:val="22"/>
                        </w:rPr>
                        <w:t>密封线</w:t>
                      </w:r>
                    </w:p>
                  </w:txbxContent>
                </v:textbox>
              </v:rect>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haracter">
                  <wp:posOffset>4615180</wp:posOffset>
                </wp:positionH>
                <wp:positionV relativeFrom="line">
                  <wp:posOffset>8111490</wp:posOffset>
                </wp:positionV>
                <wp:extent cx="1156335" cy="396240"/>
                <wp:effectExtent l="0" t="0" r="0" b="0"/>
                <wp:wrapNone/>
                <wp:docPr id="21" name="矩形 21"/>
                <wp:cNvGraphicFramePr/>
                <a:graphic xmlns:a="http://schemas.openxmlformats.org/drawingml/2006/main">
                  <a:graphicData uri="http://schemas.microsoft.com/office/word/2010/wordprocessingShape">
                    <wps:wsp>
                      <wps:cNvSpPr/>
                      <wps:spPr>
                        <a:xfrm>
                          <a:off x="5720080" y="8860790"/>
                          <a:ext cx="1156335" cy="396240"/>
                        </a:xfrm>
                        <a:prstGeom prst="rect">
                          <a:avLst/>
                        </a:prstGeom>
                        <a:noFill/>
                        <a:ln w="9525">
                          <a:noFill/>
                        </a:ln>
                        <a:effectLst/>
                      </wps:spPr>
                      <wps:txbx>
                        <w:txbxContent>
                          <w:p w14:paraId="0A8CE50E">
                            <w:pPr>
                              <w:rPr>
                                <w:sz w:val="20"/>
                              </w:rPr>
                            </w:pPr>
                            <w:r>
                              <w:rPr>
                                <w:rFonts w:hint="eastAsia" w:ascii="宋体" w:cs="宋体"/>
                                <w:bCs/>
                                <w:color w:val="000000"/>
                                <w:sz w:val="28"/>
                                <w:szCs w:val="30"/>
                              </w:rPr>
                              <w:t>(盖单位章处）</w:t>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left:363.4pt;margin-top:638.7pt;height:31.2pt;width:91.05pt;mso-position-horizontal-relative:char;mso-position-vertical-relative:line;mso-wrap-style:none;z-index:251664384;mso-width-relative:page;mso-height-relative:page;" filled="f" stroked="f" coordsize="21600,21600" o:gfxdata="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w2TtLZAAAADQEAAA8AAAAAAAAAAQAgAAAAIgAAAGRycy9kb3ducmV2LnhtbFBL&#10;AQIUABQAAAAIAIdO4kAXpgP/9QEAANUDAAAOAAAAAAAAAAEAIAAAACgBAABkcnMvZTJvRG9jLnht&#10;bFBLBQYAAAAABgAGAFkBAACPBQAAAAA=&#10;">
                <v:fill on="f" focussize="0,0"/>
                <v:stroke on="f"/>
                <v:imagedata o:title=""/>
                <o:lock v:ext="edit" aspectratio="f"/>
                <v:textbox inset="0mm,0mm,0mm,0mm" style="mso-fit-shape-to-text:t;">
                  <w:txbxContent>
                    <w:p w14:paraId="0A8CE50E">
                      <w:pPr>
                        <w:rPr>
                          <w:sz w:val="20"/>
                        </w:rPr>
                      </w:pPr>
                      <w:r>
                        <w:rPr>
                          <w:rFonts w:hint="eastAsia" w:ascii="宋体" w:cs="宋体"/>
                          <w:bCs/>
                          <w:color w:val="000000"/>
                          <w:sz w:val="28"/>
                          <w:szCs w:val="30"/>
                        </w:rPr>
                        <w:t>(盖单位章处）</w:t>
                      </w:r>
                    </w:p>
                  </w:txbxContent>
                </v:textbox>
              </v:rect>
            </w:pict>
          </mc:Fallback>
        </mc:AlternateContent>
      </w:r>
    </w:p>
    <w:p w14:paraId="24BC70E7">
      <w:pPr>
        <w:rPr>
          <w:highlight w:val="none"/>
        </w:rPr>
      </w:pPr>
    </w:p>
    <w:p w14:paraId="0B58FA43">
      <w:pPr>
        <w:rPr>
          <w:highlight w:val="none"/>
        </w:rPr>
      </w:pPr>
    </w:p>
    <w:p w14:paraId="102505E4">
      <w:pPr>
        <w:pStyle w:val="2"/>
        <w:rPr>
          <w:highlight w:val="none"/>
        </w:rPr>
      </w:pPr>
    </w:p>
    <w:p w14:paraId="0ECC32FF">
      <w:pPr>
        <w:rPr>
          <w:highlight w:val="none"/>
        </w:rPr>
      </w:pPr>
    </w:p>
    <w:p w14:paraId="21407543">
      <w:pPr>
        <w:pStyle w:val="2"/>
        <w:rPr>
          <w:highlight w:val="none"/>
        </w:rPr>
      </w:pPr>
    </w:p>
    <w:p w14:paraId="4BFB8F1C">
      <w:pPr>
        <w:rPr>
          <w:highlight w:val="none"/>
        </w:rPr>
      </w:pPr>
    </w:p>
    <w:p w14:paraId="36BFEAC7">
      <w:pPr>
        <w:pStyle w:val="2"/>
        <w:rPr>
          <w:highlight w:val="none"/>
        </w:rPr>
      </w:pPr>
    </w:p>
    <w:p w14:paraId="7E7B006A">
      <w:pPr>
        <w:pStyle w:val="2"/>
        <w:spacing w:before="0" w:after="0"/>
        <w:rPr>
          <w:highlight w:val="none"/>
        </w:rPr>
      </w:pPr>
    </w:p>
    <w:p w14:paraId="06DCB993">
      <w:pPr>
        <w:rPr>
          <w:highlight w:val="none"/>
        </w:rPr>
      </w:pPr>
    </w:p>
    <w:p w14:paraId="7CD48511">
      <w:pPr>
        <w:pStyle w:val="2"/>
        <w:spacing w:before="0" w:after="0"/>
        <w:rPr>
          <w:highlight w:val="none"/>
        </w:rPr>
      </w:pPr>
    </w:p>
    <w:p w14:paraId="172A4672">
      <w:pPr>
        <w:rPr>
          <w:highlight w:val="none"/>
        </w:rPr>
      </w:pPr>
    </w:p>
    <w:p w14:paraId="49A76A68">
      <w:pPr>
        <w:pStyle w:val="2"/>
        <w:rPr>
          <w:highlight w:val="none"/>
        </w:rPr>
      </w:pPr>
    </w:p>
    <w:p w14:paraId="02492FDC">
      <w:pPr>
        <w:pStyle w:val="2"/>
        <w:rPr>
          <w:highlight w:val="none"/>
        </w:rPr>
      </w:pPr>
    </w:p>
    <w:p w14:paraId="53459D7C">
      <w:pPr>
        <w:rPr>
          <w:highlight w:val="none"/>
        </w:rPr>
      </w:pPr>
    </w:p>
    <w:p w14:paraId="75D83074">
      <w:pPr>
        <w:pStyle w:val="2"/>
        <w:rPr>
          <w:highlight w:val="none"/>
        </w:rPr>
      </w:pPr>
    </w:p>
    <w:p w14:paraId="11D4C8F0">
      <w:pPr>
        <w:rPr>
          <w:highlight w:val="none"/>
        </w:rPr>
      </w:pPr>
    </w:p>
    <w:p w14:paraId="50063373">
      <w:pPr>
        <w:pStyle w:val="2"/>
        <w:rPr>
          <w:highlight w:val="none"/>
        </w:rPr>
      </w:pPr>
    </w:p>
    <w:p w14:paraId="49D7C23C">
      <w:pPr>
        <w:rPr>
          <w:highlight w:val="none"/>
        </w:rPr>
      </w:pPr>
    </w:p>
    <w:p w14:paraId="2C4DAA62">
      <w:pPr>
        <w:rPr>
          <w:rFonts w:eastAsia="方正小标宋_GBK"/>
          <w:b/>
          <w:highlight w:val="none"/>
        </w:rPr>
      </w:pPr>
    </w:p>
    <w:p w14:paraId="1FAE3FB3">
      <w:pPr>
        <w:spacing w:line="600" w:lineRule="exact"/>
        <w:rPr>
          <w:rFonts w:ascii="方正小标宋_GBK" w:hAnsi="方正小标宋_GBK" w:eastAsia="方正小标宋_GBK" w:cs="方正小标宋_GBK"/>
          <w:sz w:val="44"/>
          <w:szCs w:val="4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2C38119-5BEA-446A-AB6B-900A4D669B6C}"/>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A861FEB8-A7A0-4554-88E6-DA7B2D529AEC}"/>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3" w:fontKey="{5E5194B2-3C2A-4129-B1E7-9B2A57A5DFC1}"/>
  </w:font>
  <w:font w:name="瀹嬩綋">
    <w:altName w:val="微软雅黑"/>
    <w:panose1 w:val="00000000000000000000"/>
    <w:charset w:val="00"/>
    <w:family w:val="auto"/>
    <w:pitch w:val="default"/>
    <w:sig w:usb0="00000000" w:usb1="00000000" w:usb2="00000000" w:usb3="00000000" w:csb0="00040001" w:csb1="00000000"/>
    <w:embedRegular r:id="rId4" w:fontKey="{1565AD28-F4CA-4ED8-8E42-54833D97F67A}"/>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embedRegular r:id="rId5" w:fontKey="{34D3E82B-082D-4F3C-A34C-3AF6AE2F78D4}"/>
  </w:font>
  <w:font w:name="等线 Light">
    <w:panose1 w:val="02010600030101010101"/>
    <w:charset w:val="86"/>
    <w:family w:val="auto"/>
    <w:pitch w:val="default"/>
    <w:sig w:usb0="A00002BF" w:usb1="38CF7CFA" w:usb2="00000016" w:usb3="00000000" w:csb0="0004000F" w:csb1="00000000"/>
    <w:embedRegular r:id="rId6" w:fontKey="{F995D438-044D-4DB1-BD00-029D9868CACC}"/>
  </w:font>
  <w:font w:name="MingLiU">
    <w:altName w:val="PMingLiU-ExtB"/>
    <w:panose1 w:val="02020509000000000000"/>
    <w:charset w:val="88"/>
    <w:family w:val="modern"/>
    <w:pitch w:val="default"/>
    <w:sig w:usb0="00000000" w:usb1="00000000" w:usb2="00000016" w:usb3="00000000" w:csb0="00100001" w:csb1="00000000"/>
    <w:embedRegular r:id="rId7" w:fontKey="{2A655A99-6562-4F2E-88BC-BD081BD7713A}"/>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5F98B">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12CA43">
                          <w:pPr>
                            <w:pStyle w:val="9"/>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2212CA43">
                    <w:pPr>
                      <w:pStyle w:val="9"/>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A07B">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5BD105">
                          <w:pPr>
                            <w:pStyle w:val="9"/>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35BD105">
                    <w:pPr>
                      <w:pStyle w:val="9"/>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2058C"/>
    <w:multiLevelType w:val="singleLevel"/>
    <w:tmpl w:val="E362058C"/>
    <w:lvl w:ilvl="0" w:tentative="0">
      <w:start w:val="1"/>
      <w:numFmt w:val="decimal"/>
      <w:suff w:val="nothing"/>
      <w:lvlText w:val="%1、"/>
      <w:lvlJc w:val="left"/>
    </w:lvl>
  </w:abstractNum>
  <w:abstractNum w:abstractNumId="1">
    <w:nsid w:val="00304DA4"/>
    <w:multiLevelType w:val="multilevel"/>
    <w:tmpl w:val="00304DA4"/>
    <w:lvl w:ilvl="0" w:tentative="0">
      <w:start w:val="1"/>
      <w:numFmt w:val="decimal"/>
      <w:lvlText w:val="%1"/>
      <w:lvlJc w:val="left"/>
      <w:pPr>
        <w:tabs>
          <w:tab w:val="left" w:pos="567"/>
        </w:tabs>
        <w:ind w:left="567" w:hanging="567"/>
      </w:pPr>
      <w:rPr>
        <w:rFonts w:hint="eastAsia"/>
      </w:rPr>
    </w:lvl>
    <w:lvl w:ilvl="1" w:tentative="0">
      <w:start w:val="1"/>
      <w:numFmt w:val="decimal"/>
      <w:lvlText w:val="%1.%2"/>
      <w:lvlJc w:val="left"/>
      <w:pPr>
        <w:tabs>
          <w:tab w:val="left" w:pos="1956"/>
        </w:tabs>
        <w:ind w:left="1956" w:hanging="680"/>
      </w:pPr>
      <w:rPr>
        <w:rFonts w:hint="eastAsia"/>
      </w:rPr>
    </w:lvl>
    <w:lvl w:ilvl="2" w:tentative="0">
      <w:start w:val="1"/>
      <w:numFmt w:val="decimal"/>
      <w:pStyle w:val="5"/>
      <w:lvlText w:val="%1.%2.%3"/>
      <w:lvlJc w:val="left"/>
      <w:pPr>
        <w:tabs>
          <w:tab w:val="left" w:pos="1260"/>
        </w:tabs>
        <w:ind w:left="-33" w:firstLine="573"/>
      </w:pPr>
      <w:rPr>
        <w:rFonts w:ascii="Times New Roman" w:hAnsi="Times New Roman" w:cs="Times New Roman"/>
        <w:b w:val="0"/>
        <w:bCs w:val="0"/>
        <w:i w:val="0"/>
        <w:iCs w:val="0"/>
        <w:caps w:val="0"/>
        <w:smallCaps w:val="0"/>
        <w:strike w:val="0"/>
        <w:dstrike w:val="0"/>
        <w:vanish w:val="0"/>
        <w:spacing w:val="0"/>
        <w:position w:val="0"/>
        <w:u w:val="none"/>
        <w:vertAlign w:val="baseline"/>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59089F16"/>
    <w:multiLevelType w:val="singleLevel"/>
    <w:tmpl w:val="59089F16"/>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YTBmNGYxMDZlMTIzYzk0Y2E4Y2M4ZTdiZGUxYjcifQ=="/>
  </w:docVars>
  <w:rsids>
    <w:rsidRoot w:val="68A742ED"/>
    <w:rsid w:val="0003707B"/>
    <w:rsid w:val="000615C6"/>
    <w:rsid w:val="00064284"/>
    <w:rsid w:val="00084EBD"/>
    <w:rsid w:val="00104531"/>
    <w:rsid w:val="001067B6"/>
    <w:rsid w:val="0015326E"/>
    <w:rsid w:val="001A0558"/>
    <w:rsid w:val="001A4C94"/>
    <w:rsid w:val="001B4A6B"/>
    <w:rsid w:val="001C3998"/>
    <w:rsid w:val="001D51CE"/>
    <w:rsid w:val="00230389"/>
    <w:rsid w:val="00234026"/>
    <w:rsid w:val="002506CC"/>
    <w:rsid w:val="0026290D"/>
    <w:rsid w:val="00293083"/>
    <w:rsid w:val="002B5B80"/>
    <w:rsid w:val="002C0004"/>
    <w:rsid w:val="002C1426"/>
    <w:rsid w:val="002D6B3D"/>
    <w:rsid w:val="002F72D0"/>
    <w:rsid w:val="00302204"/>
    <w:rsid w:val="00302DFA"/>
    <w:rsid w:val="00312AE8"/>
    <w:rsid w:val="003256B8"/>
    <w:rsid w:val="0033371E"/>
    <w:rsid w:val="00363CFF"/>
    <w:rsid w:val="003B5A90"/>
    <w:rsid w:val="003D2257"/>
    <w:rsid w:val="003D7A99"/>
    <w:rsid w:val="0041085C"/>
    <w:rsid w:val="00494257"/>
    <w:rsid w:val="004A2776"/>
    <w:rsid w:val="00517090"/>
    <w:rsid w:val="00555484"/>
    <w:rsid w:val="00580CE1"/>
    <w:rsid w:val="005904DB"/>
    <w:rsid w:val="005A5653"/>
    <w:rsid w:val="005D26F2"/>
    <w:rsid w:val="0061659B"/>
    <w:rsid w:val="00642532"/>
    <w:rsid w:val="00644A7B"/>
    <w:rsid w:val="0065398B"/>
    <w:rsid w:val="006B5FDD"/>
    <w:rsid w:val="006D3130"/>
    <w:rsid w:val="00711B6E"/>
    <w:rsid w:val="00717606"/>
    <w:rsid w:val="00721B7D"/>
    <w:rsid w:val="00751510"/>
    <w:rsid w:val="007674FF"/>
    <w:rsid w:val="00862EE4"/>
    <w:rsid w:val="008634E6"/>
    <w:rsid w:val="00876320"/>
    <w:rsid w:val="0088518A"/>
    <w:rsid w:val="00886AD1"/>
    <w:rsid w:val="00891A11"/>
    <w:rsid w:val="008D5166"/>
    <w:rsid w:val="008E173F"/>
    <w:rsid w:val="008F21C6"/>
    <w:rsid w:val="00907B3A"/>
    <w:rsid w:val="009279F9"/>
    <w:rsid w:val="00933359"/>
    <w:rsid w:val="00984387"/>
    <w:rsid w:val="009A6C7A"/>
    <w:rsid w:val="00A15701"/>
    <w:rsid w:val="00A43E24"/>
    <w:rsid w:val="00A9743B"/>
    <w:rsid w:val="00AB31DA"/>
    <w:rsid w:val="00C15696"/>
    <w:rsid w:val="00C81E08"/>
    <w:rsid w:val="00CA62D2"/>
    <w:rsid w:val="00DB3B0E"/>
    <w:rsid w:val="00E003A9"/>
    <w:rsid w:val="00E550E4"/>
    <w:rsid w:val="00E568FE"/>
    <w:rsid w:val="00E6293E"/>
    <w:rsid w:val="00E7207B"/>
    <w:rsid w:val="00E97837"/>
    <w:rsid w:val="00F11DFF"/>
    <w:rsid w:val="00F32CCF"/>
    <w:rsid w:val="00F6015C"/>
    <w:rsid w:val="00F675B4"/>
    <w:rsid w:val="010351AA"/>
    <w:rsid w:val="020236B3"/>
    <w:rsid w:val="02501F5F"/>
    <w:rsid w:val="02F27732"/>
    <w:rsid w:val="03287A05"/>
    <w:rsid w:val="038C36E0"/>
    <w:rsid w:val="03DD59CA"/>
    <w:rsid w:val="044F726B"/>
    <w:rsid w:val="04912ACD"/>
    <w:rsid w:val="04D03646"/>
    <w:rsid w:val="05AF0F65"/>
    <w:rsid w:val="05BF2AA5"/>
    <w:rsid w:val="05D07BB4"/>
    <w:rsid w:val="05F952FF"/>
    <w:rsid w:val="060A5E1C"/>
    <w:rsid w:val="0665615E"/>
    <w:rsid w:val="06782AA7"/>
    <w:rsid w:val="07110764"/>
    <w:rsid w:val="07375BAD"/>
    <w:rsid w:val="07F95559"/>
    <w:rsid w:val="09875BCB"/>
    <w:rsid w:val="09CC5391"/>
    <w:rsid w:val="09DD7029"/>
    <w:rsid w:val="0A281360"/>
    <w:rsid w:val="0A892BC4"/>
    <w:rsid w:val="0A8C67EC"/>
    <w:rsid w:val="0AC04A3C"/>
    <w:rsid w:val="0B5360BD"/>
    <w:rsid w:val="0B9B577E"/>
    <w:rsid w:val="0C152235"/>
    <w:rsid w:val="0CC4006B"/>
    <w:rsid w:val="0D0122B8"/>
    <w:rsid w:val="0D166265"/>
    <w:rsid w:val="0D1F49F2"/>
    <w:rsid w:val="0D305579"/>
    <w:rsid w:val="0D6467C2"/>
    <w:rsid w:val="0DD358E2"/>
    <w:rsid w:val="0E254470"/>
    <w:rsid w:val="0E812E3C"/>
    <w:rsid w:val="0EF80318"/>
    <w:rsid w:val="0F68324F"/>
    <w:rsid w:val="0FE211EF"/>
    <w:rsid w:val="117143B2"/>
    <w:rsid w:val="12131151"/>
    <w:rsid w:val="12B972A7"/>
    <w:rsid w:val="135E2154"/>
    <w:rsid w:val="13634C66"/>
    <w:rsid w:val="13C30D13"/>
    <w:rsid w:val="13C65187"/>
    <w:rsid w:val="13D80718"/>
    <w:rsid w:val="13EF728A"/>
    <w:rsid w:val="13F77976"/>
    <w:rsid w:val="141F23D7"/>
    <w:rsid w:val="1421015B"/>
    <w:rsid w:val="14583ECE"/>
    <w:rsid w:val="15C27037"/>
    <w:rsid w:val="15D60D6C"/>
    <w:rsid w:val="165C73DE"/>
    <w:rsid w:val="16BA4648"/>
    <w:rsid w:val="16C77D52"/>
    <w:rsid w:val="172D4BCE"/>
    <w:rsid w:val="173E6195"/>
    <w:rsid w:val="184425A3"/>
    <w:rsid w:val="186928F2"/>
    <w:rsid w:val="193F49AE"/>
    <w:rsid w:val="19FC2EBD"/>
    <w:rsid w:val="1A5C400C"/>
    <w:rsid w:val="1A922FF5"/>
    <w:rsid w:val="1AD3262E"/>
    <w:rsid w:val="1B0C5787"/>
    <w:rsid w:val="1B282302"/>
    <w:rsid w:val="1B6B3730"/>
    <w:rsid w:val="1BB7319C"/>
    <w:rsid w:val="1BF260EF"/>
    <w:rsid w:val="1CBD7881"/>
    <w:rsid w:val="1CF5767F"/>
    <w:rsid w:val="1CF9153A"/>
    <w:rsid w:val="1D200111"/>
    <w:rsid w:val="1D4B6290"/>
    <w:rsid w:val="1D5F099D"/>
    <w:rsid w:val="1DE101C9"/>
    <w:rsid w:val="1DED6B6E"/>
    <w:rsid w:val="1EFD7CAF"/>
    <w:rsid w:val="1F160197"/>
    <w:rsid w:val="1F271888"/>
    <w:rsid w:val="208A4B48"/>
    <w:rsid w:val="20C447B2"/>
    <w:rsid w:val="20DE357A"/>
    <w:rsid w:val="2133225E"/>
    <w:rsid w:val="219519F6"/>
    <w:rsid w:val="21BD635B"/>
    <w:rsid w:val="221A41EC"/>
    <w:rsid w:val="22895C12"/>
    <w:rsid w:val="23900771"/>
    <w:rsid w:val="23CF07F7"/>
    <w:rsid w:val="23E0603D"/>
    <w:rsid w:val="23FE012A"/>
    <w:rsid w:val="242B106E"/>
    <w:rsid w:val="24536911"/>
    <w:rsid w:val="24FF149C"/>
    <w:rsid w:val="250550E5"/>
    <w:rsid w:val="250D077C"/>
    <w:rsid w:val="2570535B"/>
    <w:rsid w:val="25A31138"/>
    <w:rsid w:val="25F82421"/>
    <w:rsid w:val="261D6FC9"/>
    <w:rsid w:val="266C2A1D"/>
    <w:rsid w:val="26C93993"/>
    <w:rsid w:val="26D267BE"/>
    <w:rsid w:val="26F0393C"/>
    <w:rsid w:val="2786566E"/>
    <w:rsid w:val="28EC13C8"/>
    <w:rsid w:val="299D7862"/>
    <w:rsid w:val="29A04919"/>
    <w:rsid w:val="29B71860"/>
    <w:rsid w:val="2A111A8E"/>
    <w:rsid w:val="2B8B4989"/>
    <w:rsid w:val="2C737893"/>
    <w:rsid w:val="2C7768C8"/>
    <w:rsid w:val="2CDA0954"/>
    <w:rsid w:val="2E146CE4"/>
    <w:rsid w:val="2E5E3A03"/>
    <w:rsid w:val="2E7A444E"/>
    <w:rsid w:val="2F9E216B"/>
    <w:rsid w:val="30A6152A"/>
    <w:rsid w:val="30E339BF"/>
    <w:rsid w:val="31123DDF"/>
    <w:rsid w:val="31FC0F6B"/>
    <w:rsid w:val="322F416D"/>
    <w:rsid w:val="32443888"/>
    <w:rsid w:val="33527747"/>
    <w:rsid w:val="33DD249D"/>
    <w:rsid w:val="34C54C16"/>
    <w:rsid w:val="357F059C"/>
    <w:rsid w:val="378A3CA1"/>
    <w:rsid w:val="37C65C94"/>
    <w:rsid w:val="39202F72"/>
    <w:rsid w:val="399272E0"/>
    <w:rsid w:val="39A17A05"/>
    <w:rsid w:val="39E44101"/>
    <w:rsid w:val="3A041032"/>
    <w:rsid w:val="3A17366D"/>
    <w:rsid w:val="3A1A6AE5"/>
    <w:rsid w:val="3A992100"/>
    <w:rsid w:val="3AB63C54"/>
    <w:rsid w:val="3ADB40A8"/>
    <w:rsid w:val="3AE342BF"/>
    <w:rsid w:val="3B447ABA"/>
    <w:rsid w:val="3B6D0B14"/>
    <w:rsid w:val="3B8F5C93"/>
    <w:rsid w:val="3BB11559"/>
    <w:rsid w:val="3BB15CD8"/>
    <w:rsid w:val="3C0E4427"/>
    <w:rsid w:val="3C3200F7"/>
    <w:rsid w:val="3C3F781F"/>
    <w:rsid w:val="3C7852AB"/>
    <w:rsid w:val="3C8A2C04"/>
    <w:rsid w:val="3C96489D"/>
    <w:rsid w:val="3D2077F2"/>
    <w:rsid w:val="3D4075C2"/>
    <w:rsid w:val="3E2D78C5"/>
    <w:rsid w:val="3E9B4698"/>
    <w:rsid w:val="3EB07A18"/>
    <w:rsid w:val="3EDB718F"/>
    <w:rsid w:val="3F0329B7"/>
    <w:rsid w:val="3F5E337B"/>
    <w:rsid w:val="3F604465"/>
    <w:rsid w:val="3F767786"/>
    <w:rsid w:val="3FD339BE"/>
    <w:rsid w:val="40B74C12"/>
    <w:rsid w:val="40CF3720"/>
    <w:rsid w:val="41876226"/>
    <w:rsid w:val="41C95047"/>
    <w:rsid w:val="424F603E"/>
    <w:rsid w:val="42764AD5"/>
    <w:rsid w:val="42853DB6"/>
    <w:rsid w:val="42E34ECB"/>
    <w:rsid w:val="4314120B"/>
    <w:rsid w:val="437C555D"/>
    <w:rsid w:val="439231BA"/>
    <w:rsid w:val="43D47D05"/>
    <w:rsid w:val="43E52802"/>
    <w:rsid w:val="44077CFF"/>
    <w:rsid w:val="443770F1"/>
    <w:rsid w:val="449F2519"/>
    <w:rsid w:val="45047207"/>
    <w:rsid w:val="45062140"/>
    <w:rsid w:val="451568D9"/>
    <w:rsid w:val="45A544FF"/>
    <w:rsid w:val="45E93880"/>
    <w:rsid w:val="45F47BB0"/>
    <w:rsid w:val="460D33F5"/>
    <w:rsid w:val="46D63D94"/>
    <w:rsid w:val="46F7281D"/>
    <w:rsid w:val="473A0C45"/>
    <w:rsid w:val="48BC699F"/>
    <w:rsid w:val="48C42928"/>
    <w:rsid w:val="490F1F22"/>
    <w:rsid w:val="49AD66E2"/>
    <w:rsid w:val="4A3774BC"/>
    <w:rsid w:val="4A8F4638"/>
    <w:rsid w:val="4ABD14F2"/>
    <w:rsid w:val="4B366095"/>
    <w:rsid w:val="4B736325"/>
    <w:rsid w:val="4B754BD1"/>
    <w:rsid w:val="4B8A6F82"/>
    <w:rsid w:val="4BD424DD"/>
    <w:rsid w:val="4C311EAE"/>
    <w:rsid w:val="4C7D5FFD"/>
    <w:rsid w:val="4CF431C6"/>
    <w:rsid w:val="4D680D9C"/>
    <w:rsid w:val="4D987FF5"/>
    <w:rsid w:val="4DE3729B"/>
    <w:rsid w:val="4E527AA9"/>
    <w:rsid w:val="4E543ADC"/>
    <w:rsid w:val="4EE91049"/>
    <w:rsid w:val="4F6C798B"/>
    <w:rsid w:val="4FC26B2F"/>
    <w:rsid w:val="500D0FC6"/>
    <w:rsid w:val="505D2565"/>
    <w:rsid w:val="50CB1434"/>
    <w:rsid w:val="51884169"/>
    <w:rsid w:val="518B3EE0"/>
    <w:rsid w:val="519A2F38"/>
    <w:rsid w:val="519C19B8"/>
    <w:rsid w:val="521F2DEA"/>
    <w:rsid w:val="523F4EE3"/>
    <w:rsid w:val="524B6284"/>
    <w:rsid w:val="52C36DF2"/>
    <w:rsid w:val="52E30036"/>
    <w:rsid w:val="554C1DF1"/>
    <w:rsid w:val="55A03EEB"/>
    <w:rsid w:val="55BC0A37"/>
    <w:rsid w:val="55D1777E"/>
    <w:rsid w:val="5627107A"/>
    <w:rsid w:val="56293EE0"/>
    <w:rsid w:val="566C22F1"/>
    <w:rsid w:val="56B168E8"/>
    <w:rsid w:val="56DD05C3"/>
    <w:rsid w:val="56E602DF"/>
    <w:rsid w:val="57080FDC"/>
    <w:rsid w:val="57206E9F"/>
    <w:rsid w:val="575235E3"/>
    <w:rsid w:val="57A03417"/>
    <w:rsid w:val="586329F4"/>
    <w:rsid w:val="58B150BD"/>
    <w:rsid w:val="591453B6"/>
    <w:rsid w:val="596E58C2"/>
    <w:rsid w:val="598E19C2"/>
    <w:rsid w:val="59E9009D"/>
    <w:rsid w:val="5A105AE3"/>
    <w:rsid w:val="5A7822AE"/>
    <w:rsid w:val="5B487FA2"/>
    <w:rsid w:val="5B975130"/>
    <w:rsid w:val="5B9F2500"/>
    <w:rsid w:val="5BFE6852"/>
    <w:rsid w:val="5CC0409F"/>
    <w:rsid w:val="5DEE2193"/>
    <w:rsid w:val="5DF95E03"/>
    <w:rsid w:val="5E0A45F7"/>
    <w:rsid w:val="5EAF3CBE"/>
    <w:rsid w:val="5F0E02C2"/>
    <w:rsid w:val="5F4A288F"/>
    <w:rsid w:val="5F761CA9"/>
    <w:rsid w:val="5FE4292A"/>
    <w:rsid w:val="600F5B5A"/>
    <w:rsid w:val="60530026"/>
    <w:rsid w:val="60B63178"/>
    <w:rsid w:val="60F61415"/>
    <w:rsid w:val="6135668D"/>
    <w:rsid w:val="615A3487"/>
    <w:rsid w:val="61646714"/>
    <w:rsid w:val="61C77D88"/>
    <w:rsid w:val="61D727BB"/>
    <w:rsid w:val="62481B92"/>
    <w:rsid w:val="62F71F9F"/>
    <w:rsid w:val="62FD190F"/>
    <w:rsid w:val="630E5E3C"/>
    <w:rsid w:val="64EE4C72"/>
    <w:rsid w:val="64F80F1C"/>
    <w:rsid w:val="64FF5026"/>
    <w:rsid w:val="65493C57"/>
    <w:rsid w:val="65670581"/>
    <w:rsid w:val="658729E9"/>
    <w:rsid w:val="658C69B3"/>
    <w:rsid w:val="66442B66"/>
    <w:rsid w:val="665E1CDF"/>
    <w:rsid w:val="666F61BC"/>
    <w:rsid w:val="66B160AF"/>
    <w:rsid w:val="66BC11B0"/>
    <w:rsid w:val="66C26551"/>
    <w:rsid w:val="677D6BB4"/>
    <w:rsid w:val="67B61A25"/>
    <w:rsid w:val="67F21BCA"/>
    <w:rsid w:val="6831015F"/>
    <w:rsid w:val="68A742ED"/>
    <w:rsid w:val="69307536"/>
    <w:rsid w:val="69AB6013"/>
    <w:rsid w:val="6A5D1F52"/>
    <w:rsid w:val="6AA325C6"/>
    <w:rsid w:val="6ABD5915"/>
    <w:rsid w:val="6AD14C5D"/>
    <w:rsid w:val="6AD16ECB"/>
    <w:rsid w:val="6B6D4938"/>
    <w:rsid w:val="6BEA3CBA"/>
    <w:rsid w:val="6C9875EB"/>
    <w:rsid w:val="6CE857BB"/>
    <w:rsid w:val="6D487FBF"/>
    <w:rsid w:val="6ECE1671"/>
    <w:rsid w:val="6F7F2EDB"/>
    <w:rsid w:val="6FA77336"/>
    <w:rsid w:val="6FE37B42"/>
    <w:rsid w:val="6FF43359"/>
    <w:rsid w:val="71270EF9"/>
    <w:rsid w:val="714F5A00"/>
    <w:rsid w:val="71F61CD2"/>
    <w:rsid w:val="72051137"/>
    <w:rsid w:val="72267A92"/>
    <w:rsid w:val="729048C2"/>
    <w:rsid w:val="73154367"/>
    <w:rsid w:val="73354FBC"/>
    <w:rsid w:val="737E6395"/>
    <w:rsid w:val="73BB5A93"/>
    <w:rsid w:val="73BC5F3C"/>
    <w:rsid w:val="73F531FC"/>
    <w:rsid w:val="74015F4E"/>
    <w:rsid w:val="74CA4688"/>
    <w:rsid w:val="74F848D0"/>
    <w:rsid w:val="753A5262"/>
    <w:rsid w:val="753C37D8"/>
    <w:rsid w:val="75C02056"/>
    <w:rsid w:val="75F9627B"/>
    <w:rsid w:val="76481D09"/>
    <w:rsid w:val="76A333E3"/>
    <w:rsid w:val="76C12E88"/>
    <w:rsid w:val="76FD2AF3"/>
    <w:rsid w:val="772A242E"/>
    <w:rsid w:val="773A2E3A"/>
    <w:rsid w:val="77AB7500"/>
    <w:rsid w:val="78183A77"/>
    <w:rsid w:val="797D3DA6"/>
    <w:rsid w:val="798E097C"/>
    <w:rsid w:val="7A523181"/>
    <w:rsid w:val="7AA15E8B"/>
    <w:rsid w:val="7AE1630E"/>
    <w:rsid w:val="7B2A672C"/>
    <w:rsid w:val="7B9A7CF7"/>
    <w:rsid w:val="7BDD1B24"/>
    <w:rsid w:val="7BFE1CB4"/>
    <w:rsid w:val="7C712E7B"/>
    <w:rsid w:val="7CA83A23"/>
    <w:rsid w:val="7CE94BB0"/>
    <w:rsid w:val="7D2863F0"/>
    <w:rsid w:val="7D4C4563"/>
    <w:rsid w:val="7DD354D7"/>
    <w:rsid w:val="7DF20320"/>
    <w:rsid w:val="7DF311DF"/>
    <w:rsid w:val="7E37267B"/>
    <w:rsid w:val="7E520CE5"/>
    <w:rsid w:val="DFEBE2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qFormat/>
    <w:uiPriority w:val="0"/>
    <w:pPr>
      <w:keepNext/>
      <w:keepLines/>
      <w:numPr>
        <w:ilvl w:val="2"/>
        <w:numId w:val="1"/>
      </w:numPr>
      <w:spacing w:line="360" w:lineRule="auto"/>
      <w:outlineLvl w:val="2"/>
    </w:pPr>
    <w:rPr>
      <w:rFonts w:eastAsia="仿宋_GB2312"/>
      <w:bCs/>
      <w:sz w:val="28"/>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21"/>
    <w:qFormat/>
    <w:uiPriority w:val="10"/>
    <w:pPr>
      <w:spacing w:before="240" w:after="60"/>
      <w:outlineLvl w:val="0"/>
    </w:pPr>
    <w:rPr>
      <w:rFonts w:ascii="Arial" w:hAnsi="Arial" w:cs="Arial"/>
      <w:b/>
      <w:bCs/>
      <w:sz w:val="32"/>
      <w:szCs w:val="32"/>
    </w:rPr>
  </w:style>
  <w:style w:type="paragraph" w:styleId="6">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7">
    <w:name w:val="annotation text"/>
    <w:basedOn w:val="1"/>
    <w:link w:val="20"/>
    <w:qFormat/>
    <w:uiPriority w:val="99"/>
    <w:pPr>
      <w:jc w:val="left"/>
    </w:pPr>
  </w:style>
  <w:style w:type="paragraph" w:styleId="8">
    <w:name w:val="Body Text"/>
    <w:basedOn w:val="1"/>
    <w:next w:val="1"/>
    <w:qFormat/>
    <w:uiPriority w:val="0"/>
    <w:rPr>
      <w:sz w:val="26"/>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3"/>
    <w:next w:val="1"/>
    <w:unhideWhenUsed/>
    <w:qFormat/>
    <w:uiPriority w:val="39"/>
    <w:pPr>
      <w:tabs>
        <w:tab w:val="right" w:leader="dot" w:pos="8302"/>
      </w:tabs>
      <w:jc w:val="center"/>
    </w:pPr>
    <w:rPr>
      <w:szCs w:val="20"/>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annotation subject"/>
    <w:basedOn w:val="7"/>
    <w:next w:val="7"/>
    <w:link w:val="22"/>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qFormat/>
    <w:uiPriority w:val="99"/>
    <w:rPr>
      <w:color w:val="0000FF"/>
      <w:u w:val="single"/>
    </w:rPr>
  </w:style>
  <w:style w:type="character" w:styleId="19">
    <w:name w:val="annotation reference"/>
    <w:qFormat/>
    <w:uiPriority w:val="0"/>
    <w:rPr>
      <w:sz w:val="21"/>
      <w:szCs w:val="21"/>
    </w:rPr>
  </w:style>
  <w:style w:type="character" w:customStyle="1" w:styleId="20">
    <w:name w:val="批注文字 Char"/>
    <w:basedOn w:val="16"/>
    <w:link w:val="7"/>
    <w:qFormat/>
    <w:uiPriority w:val="99"/>
    <w:rPr>
      <w:kern w:val="2"/>
      <w:sz w:val="21"/>
      <w:szCs w:val="24"/>
    </w:rPr>
  </w:style>
  <w:style w:type="character" w:customStyle="1" w:styleId="21">
    <w:name w:val="标题 Char"/>
    <w:basedOn w:val="16"/>
    <w:link w:val="2"/>
    <w:qFormat/>
    <w:uiPriority w:val="0"/>
    <w:rPr>
      <w:rFonts w:ascii="Calibri Light" w:hAnsi="Calibri Light" w:eastAsia="宋体" w:cs="Times New Roman"/>
      <w:b/>
      <w:bCs/>
      <w:kern w:val="2"/>
      <w:sz w:val="32"/>
      <w:szCs w:val="32"/>
    </w:rPr>
  </w:style>
  <w:style w:type="character" w:customStyle="1" w:styleId="22">
    <w:name w:val="批注主题 Char"/>
    <w:basedOn w:val="20"/>
    <w:link w:val="13"/>
    <w:qFormat/>
    <w:uiPriority w:val="0"/>
    <w:rPr>
      <w:b/>
      <w:bCs/>
      <w:kern w:val="2"/>
      <w:sz w:val="21"/>
      <w:szCs w:val="24"/>
    </w:rPr>
  </w:style>
  <w:style w:type="paragraph" w:customStyle="1" w:styleId="23">
    <w:name w:val="List Paragraph1"/>
    <w:basedOn w:val="1"/>
    <w:qFormat/>
    <w:uiPriority w:val="0"/>
    <w:pPr>
      <w:ind w:firstLine="420" w:firstLineChars="200"/>
    </w:pPr>
  </w:style>
  <w:style w:type="paragraph" w:customStyle="1" w:styleId="24">
    <w:name w:val="列出段落1"/>
    <w:basedOn w:val="1"/>
    <w:qFormat/>
    <w:uiPriority w:val="0"/>
    <w:rPr>
      <w:szCs w:val="20"/>
    </w:rPr>
  </w:style>
  <w:style w:type="paragraph" w:customStyle="1" w:styleId="25">
    <w:name w:val="default"/>
    <w:basedOn w:val="1"/>
    <w:qFormat/>
    <w:uiPriority w:val="0"/>
    <w:pPr>
      <w:widowControl/>
      <w:spacing w:line="360" w:lineRule="auto"/>
      <w:jc w:val="left"/>
    </w:pPr>
    <w:rPr>
      <w:rFonts w:ascii="Arial" w:hAnsi="Arial" w:cs="Arial"/>
      <w:kern w:val="0"/>
      <w:sz w:val="20"/>
    </w:rPr>
  </w:style>
  <w:style w:type="paragraph" w:customStyle="1" w:styleId="26">
    <w:name w:val="Default"/>
    <w:qFormat/>
    <w:uiPriority w:val="0"/>
    <w:pPr>
      <w:widowControl w:val="0"/>
      <w:autoSpaceDE w:val="0"/>
      <w:autoSpaceDN w:val="0"/>
      <w:adjustRightInd w:val="0"/>
    </w:pPr>
    <w:rPr>
      <w:rFonts w:ascii="黑体" w:hAnsi="Times New Roman" w:eastAsia="黑体" w:cs="Times New Roman"/>
      <w:sz w:val="21"/>
      <w:szCs w:val="22"/>
      <w:lang w:val="en-US" w:eastAsia="zh-CN" w:bidi="ar-SA"/>
    </w:rPr>
  </w:style>
  <w:style w:type="paragraph" w:customStyle="1" w:styleId="27">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28">
    <w:name w:val="List Paragraph"/>
    <w:basedOn w:val="1"/>
    <w:qFormat/>
    <w:uiPriority w:val="34"/>
    <w:pPr>
      <w:ind w:firstLine="420" w:firstLineChars="200"/>
    </w:pPr>
  </w:style>
  <w:style w:type="character" w:customStyle="1" w:styleId="29">
    <w:name w:val="font161"/>
    <w:basedOn w:val="16"/>
    <w:qFormat/>
    <w:uiPriority w:val="0"/>
    <w:rPr>
      <w:rFonts w:hint="eastAsia" w:ascii="方正黑体_GBK" w:hAnsi="方正黑体_GBK" w:eastAsia="方正黑体_GBK" w:cs="方正黑体_GBK"/>
      <w:color w:val="000000"/>
      <w:sz w:val="28"/>
      <w:szCs w:val="28"/>
      <w:u w:val="none"/>
    </w:rPr>
  </w:style>
  <w:style w:type="paragraph" w:customStyle="1" w:styleId="30">
    <w:name w:val="修订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15713</Words>
  <Characters>16615</Characters>
  <Lines>100</Lines>
  <Paragraphs>28</Paragraphs>
  <TotalTime>2</TotalTime>
  <ScaleCrop>false</ScaleCrop>
  <LinksUpToDate>false</LinksUpToDate>
  <CharactersWithSpaces>16846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2023-10-15T23:22:00Z</dcterms:created>
  <dc:creator>喻诗淇</dc:creator>
  <cp:lastModifiedBy>凉城已·无爱</cp:lastModifiedBy>
  <cp:lastPrinted>2026-06-16T04:53:00Z</cp:lastPrinted>
  <dcterms:modified xsi:type="dcterms:W3CDTF">2026-06-16T07:20:58Z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485C771B86CF4C228A6894561ACE28E2_13</vt:lpwstr>
  </property>
  <property fmtid="{D5CDD505-2E9C-101B-9397-08002B2CF9AE}" pid="4" name="KSOTemplateDocerSaveRecord">
    <vt:lpwstr>eyJoZGlkIjoiMWQ4YTM2NDQwNGViOGJkYzAwZDJiZjY2NGVmZGZiNDciLCJ1c2VySWQiOiIyOTgxNTM1OTgifQ==</vt:lpwstr>
  </property>
</Properties>
</file>